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A742E2">
      <w:pPr>
        <w:tabs>
          <w:tab w:val="left" w:pos="7665"/>
        </w:tabs>
        <w:rPr>
          <w:rFonts w:ascii="仿宋_GB2312" w:eastAsia="仿宋_GB2312"/>
          <w:sz w:val="32"/>
          <w:szCs w:val="32"/>
        </w:rPr>
      </w:pPr>
      <w:r>
        <w:rPr>
          <w:rFonts w:hint="eastAsia" w:ascii="仿宋_GB2312" w:eastAsia="仿宋_GB2312"/>
          <w:sz w:val="32"/>
          <w:szCs w:val="32"/>
        </w:rPr>
        <w:drawing>
          <wp:anchor distT="0" distB="0" distL="114300" distR="114300" simplePos="0" relativeHeight="251659264" behindDoc="0" locked="0" layoutInCell="1" allowOverlap="1">
            <wp:simplePos x="0" y="0"/>
            <wp:positionH relativeFrom="column">
              <wp:posOffset>2014855</wp:posOffset>
            </wp:positionH>
            <wp:positionV relativeFrom="paragraph">
              <wp:posOffset>283845</wp:posOffset>
            </wp:positionV>
            <wp:extent cx="2514600" cy="848995"/>
            <wp:effectExtent l="0" t="0" r="0" b="8255"/>
            <wp:wrapNone/>
            <wp:docPr id="2" name="图片 2" descr="彩色校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彩色校徵"/>
                    <pic:cNvPicPr>
                      <a:picLocks noChangeAspect="1"/>
                    </pic:cNvPicPr>
                  </pic:nvPicPr>
                  <pic:blipFill>
                    <a:blip r:embed="rId5"/>
                    <a:srcRect t="60800"/>
                    <a:stretch>
                      <a:fillRect/>
                    </a:stretch>
                  </pic:blipFill>
                  <pic:spPr>
                    <a:xfrm>
                      <a:off x="0" y="0"/>
                      <a:ext cx="2514600" cy="848995"/>
                    </a:xfrm>
                    <a:prstGeom prst="rect">
                      <a:avLst/>
                    </a:prstGeom>
                    <a:noFill/>
                    <a:ln>
                      <a:noFill/>
                    </a:ln>
                  </pic:spPr>
                </pic:pic>
              </a:graphicData>
            </a:graphic>
          </wp:anchor>
        </w:drawing>
      </w:r>
      <w:r>
        <w:rPr>
          <w:rFonts w:hint="eastAsia" w:ascii="仿宋_GB2312" w:eastAsia="仿宋_GB2312"/>
          <w:sz w:val="32"/>
          <w:szCs w:val="32"/>
        </w:rPr>
        <w:drawing>
          <wp:inline distT="0" distB="0" distL="114300" distR="114300">
            <wp:extent cx="1421130" cy="1327785"/>
            <wp:effectExtent l="0" t="0" r="7620" b="5715"/>
            <wp:docPr id="1" name="图片 1" descr="彩色校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彩色校徵"/>
                    <pic:cNvPicPr>
                      <a:picLocks noChangeAspect="1"/>
                    </pic:cNvPicPr>
                  </pic:nvPicPr>
                  <pic:blipFill>
                    <a:blip r:embed="rId5"/>
                    <a:srcRect l="20328" r="22957" b="38481"/>
                    <a:stretch>
                      <a:fillRect/>
                    </a:stretch>
                  </pic:blipFill>
                  <pic:spPr>
                    <a:xfrm>
                      <a:off x="0" y="0"/>
                      <a:ext cx="1421130" cy="1327785"/>
                    </a:xfrm>
                    <a:prstGeom prst="rect">
                      <a:avLst/>
                    </a:prstGeom>
                    <a:noFill/>
                    <a:ln>
                      <a:noFill/>
                    </a:ln>
                  </pic:spPr>
                </pic:pic>
              </a:graphicData>
            </a:graphic>
          </wp:inline>
        </w:drawing>
      </w:r>
    </w:p>
    <w:p w14:paraId="4FBDC605">
      <w:pPr>
        <w:tabs>
          <w:tab w:val="left" w:pos="7665"/>
        </w:tabs>
        <w:ind w:left="3680" w:right="736" w:hanging="3680" w:hangingChars="1150"/>
        <w:jc w:val="lef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 xml:space="preserve">  </w:t>
      </w:r>
      <w:r>
        <w:rPr>
          <w:rFonts w:ascii="仿宋_GB2312" w:eastAsia="仿宋_GB2312"/>
          <w:sz w:val="32"/>
          <w:szCs w:val="32"/>
        </w:rPr>
        <w:t xml:space="preserve">  </w:t>
      </w:r>
    </w:p>
    <w:p w14:paraId="3E6299A3">
      <w:pPr>
        <w:spacing w:line="120" w:lineRule="auto"/>
        <w:jc w:val="center"/>
        <w:rPr>
          <w:rFonts w:ascii="华文行楷" w:hAnsi="华文行楷" w:eastAsia="华文行楷" w:cs="华文行楷"/>
          <w:bCs/>
          <w:sz w:val="72"/>
          <w:szCs w:val="72"/>
        </w:rPr>
      </w:pPr>
      <w:r>
        <w:rPr>
          <w:rFonts w:hint="eastAsia" w:ascii="华文行楷" w:hAnsi="华文行楷" w:eastAsia="华文行楷" w:cs="华文行楷"/>
          <w:bCs/>
          <w:sz w:val="72"/>
          <w:szCs w:val="72"/>
        </w:rPr>
        <w:t>学位授权点建设年度报告</w:t>
      </w:r>
    </w:p>
    <w:p w14:paraId="67ACEAAA">
      <w:pPr>
        <w:spacing w:line="120" w:lineRule="auto"/>
        <w:jc w:val="center"/>
        <w:rPr>
          <w:rFonts w:ascii="华文行楷" w:hAnsi="华文行楷" w:eastAsia="华文行楷" w:cs="华文行楷"/>
          <w:bCs/>
          <w:sz w:val="72"/>
          <w:szCs w:val="72"/>
        </w:rPr>
      </w:pPr>
      <w:r>
        <w:rPr>
          <w:rFonts w:hint="eastAsia" w:ascii="华文楷体" w:hAnsi="华文楷体" w:eastAsia="华文楷体" w:cs="华文楷体"/>
          <w:bCs/>
          <w:sz w:val="72"/>
          <w:szCs w:val="72"/>
        </w:rPr>
        <w:t>（</w:t>
      </w:r>
      <w:r>
        <w:rPr>
          <w:rFonts w:eastAsia="华文楷体"/>
          <w:bCs/>
          <w:sz w:val="72"/>
          <w:szCs w:val="72"/>
        </w:rPr>
        <w:t>2024</w:t>
      </w:r>
      <w:r>
        <w:rPr>
          <w:rFonts w:hint="eastAsia" w:ascii="华文楷体" w:hAnsi="华文楷体" w:eastAsia="华文楷体" w:cs="华文楷体"/>
          <w:bCs/>
          <w:sz w:val="72"/>
          <w:szCs w:val="72"/>
        </w:rPr>
        <w:t>）</w:t>
      </w:r>
    </w:p>
    <w:tbl>
      <w:tblPr>
        <w:tblStyle w:val="14"/>
        <w:tblpPr w:leftFromText="180" w:rightFromText="180" w:vertAnchor="text" w:horzAnchor="page" w:tblpX="3692" w:tblpY="157"/>
        <w:tblOverlap w:val="never"/>
        <w:tblW w:w="5040" w:type="dxa"/>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14:paraId="73238F69">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14:paraId="6FB35D89">
            <w:pPr>
              <w:spacing w:line="360" w:lineRule="auto"/>
              <w:jc w:val="right"/>
              <w:rPr>
                <w:rFonts w:ascii="仿宋" w:hAnsi="仿宋" w:eastAsia="仿宋" w:cs="仿宋"/>
                <w:sz w:val="32"/>
                <w:szCs w:val="32"/>
              </w:rPr>
            </w:pPr>
            <w:r>
              <w:rPr>
                <w:rFonts w:hint="eastAsia" w:ascii="仿宋" w:hAnsi="仿宋" w:eastAsia="仿宋" w:cs="仿宋"/>
                <w:sz w:val="32"/>
                <w:szCs w:val="32"/>
              </w:rPr>
              <w:t>学位授予单位</w:t>
            </w:r>
          </w:p>
        </w:tc>
        <w:tc>
          <w:tcPr>
            <w:tcW w:w="2880" w:type="dxa"/>
            <w:tcBorders>
              <w:bottom w:val="single" w:color="auto" w:sz="4" w:space="0"/>
            </w:tcBorders>
            <w:vAlign w:val="center"/>
          </w:tcPr>
          <w:p w14:paraId="4F18528B">
            <w:pPr>
              <w:spacing w:line="360" w:lineRule="auto"/>
              <w:rPr>
                <w:rFonts w:ascii="仿宋" w:hAnsi="仿宋" w:eastAsia="仿宋" w:cs="仿宋"/>
                <w:sz w:val="32"/>
                <w:szCs w:val="32"/>
              </w:rPr>
            </w:pPr>
            <w:r>
              <w:rPr>
                <w:rFonts w:hint="eastAsia" w:ascii="仿宋" w:hAnsi="仿宋" w:eastAsia="仿宋" w:cs="仿宋"/>
                <w:sz w:val="32"/>
                <w:szCs w:val="32"/>
              </w:rPr>
              <w:t>名称：吉首大学</w:t>
            </w:r>
          </w:p>
        </w:tc>
      </w:tr>
      <w:tr w14:paraId="7A9A0378">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14:paraId="3641A515">
            <w:pPr>
              <w:spacing w:line="360" w:lineRule="auto"/>
              <w:jc w:val="center"/>
              <w:rPr>
                <w:rFonts w:ascii="仿宋" w:hAnsi="仿宋" w:eastAsia="仿宋" w:cs="仿宋"/>
                <w:sz w:val="32"/>
                <w:szCs w:val="32"/>
              </w:rPr>
            </w:pPr>
          </w:p>
        </w:tc>
        <w:tc>
          <w:tcPr>
            <w:tcW w:w="2880" w:type="dxa"/>
            <w:tcBorders>
              <w:top w:val="single" w:color="auto" w:sz="4" w:space="0"/>
            </w:tcBorders>
            <w:vAlign w:val="center"/>
          </w:tcPr>
          <w:p w14:paraId="0F66ECE0">
            <w:pPr>
              <w:spacing w:line="360" w:lineRule="auto"/>
              <w:rPr>
                <w:rFonts w:ascii="仿宋" w:hAnsi="仿宋" w:eastAsia="仿宋" w:cs="仿宋"/>
                <w:sz w:val="32"/>
                <w:szCs w:val="32"/>
              </w:rPr>
            </w:pPr>
            <w:r>
              <w:rPr>
                <w:rFonts w:hint="eastAsia" w:ascii="仿宋" w:hAnsi="仿宋" w:eastAsia="仿宋" w:cs="仿宋"/>
                <w:sz w:val="32"/>
                <w:szCs w:val="32"/>
              </w:rPr>
              <w:t>代码：</w:t>
            </w:r>
            <w:r>
              <w:rPr>
                <w:rFonts w:eastAsia="仿宋"/>
                <w:sz w:val="32"/>
                <w:szCs w:val="32"/>
              </w:rPr>
              <w:t>10531</w:t>
            </w:r>
          </w:p>
        </w:tc>
      </w:tr>
    </w:tbl>
    <w:p w14:paraId="01841858">
      <w:pPr>
        <w:widowControl/>
        <w:spacing w:before="468" w:beforeLines="150" w:afterAutospacing="1"/>
        <w:ind w:firstLine="1374" w:firstLineChars="300"/>
        <w:rPr>
          <w:rFonts w:ascii="仿宋" w:hAnsi="仿宋" w:eastAsia="仿宋" w:cs="仿宋"/>
          <w:spacing w:val="69"/>
          <w:kern w:val="0"/>
          <w:position w:val="-15"/>
          <w:sz w:val="32"/>
          <w:szCs w:val="32"/>
          <w:lang w:bidi="ar"/>
        </w:rPr>
      </w:pPr>
    </w:p>
    <w:tbl>
      <w:tblPr>
        <w:tblStyle w:val="14"/>
        <w:tblpPr w:leftFromText="180" w:rightFromText="180" w:vertAnchor="text" w:horzAnchor="page" w:tblpX="3715" w:tblpY="873"/>
        <w:tblOverlap w:val="never"/>
        <w:tblW w:w="5040" w:type="dxa"/>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14:paraId="7CEA9DF1">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14:paraId="43A6A449">
            <w:pPr>
              <w:spacing w:line="360" w:lineRule="auto"/>
              <w:jc w:val="right"/>
              <w:rPr>
                <w:rFonts w:ascii="仿宋" w:hAnsi="仿宋" w:eastAsia="仿宋" w:cs="仿宋"/>
                <w:sz w:val="32"/>
                <w:szCs w:val="32"/>
              </w:rPr>
            </w:pPr>
            <w:r>
              <w:rPr>
                <w:rFonts w:hint="eastAsia" w:ascii="仿宋" w:hAnsi="仿宋" w:eastAsia="仿宋" w:cs="仿宋"/>
                <w:sz w:val="32"/>
                <w:szCs w:val="32"/>
              </w:rPr>
              <w:t xml:space="preserve">授 权 学 科 </w:t>
            </w:r>
          </w:p>
        </w:tc>
        <w:tc>
          <w:tcPr>
            <w:tcW w:w="2880" w:type="dxa"/>
            <w:tcBorders>
              <w:bottom w:val="single" w:color="auto" w:sz="4" w:space="0"/>
            </w:tcBorders>
            <w:vAlign w:val="center"/>
          </w:tcPr>
          <w:p w14:paraId="6AF966D3">
            <w:pPr>
              <w:spacing w:line="360" w:lineRule="auto"/>
              <w:rPr>
                <w:rFonts w:ascii="仿宋" w:hAnsi="仿宋" w:eastAsia="仿宋" w:cs="仿宋"/>
                <w:sz w:val="32"/>
                <w:szCs w:val="32"/>
              </w:rPr>
            </w:pPr>
            <w:r>
              <w:rPr>
                <w:rFonts w:hint="eastAsia" w:ascii="仿宋" w:hAnsi="仿宋" w:eastAsia="仿宋" w:cs="仿宋"/>
                <w:sz w:val="32"/>
                <w:szCs w:val="32"/>
              </w:rPr>
              <w:t xml:space="preserve">名称：工商管理 </w:t>
            </w:r>
          </w:p>
        </w:tc>
      </w:tr>
      <w:tr w14:paraId="49FF3B66">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14:paraId="4FBA18F7">
            <w:pPr>
              <w:spacing w:line="360" w:lineRule="auto"/>
              <w:jc w:val="center"/>
              <w:rPr>
                <w:rFonts w:ascii="仿宋" w:hAnsi="仿宋" w:eastAsia="仿宋" w:cs="仿宋"/>
                <w:sz w:val="32"/>
                <w:szCs w:val="32"/>
              </w:rPr>
            </w:pPr>
          </w:p>
        </w:tc>
        <w:tc>
          <w:tcPr>
            <w:tcW w:w="2880" w:type="dxa"/>
            <w:tcBorders>
              <w:top w:val="single" w:color="auto" w:sz="4" w:space="0"/>
            </w:tcBorders>
            <w:vAlign w:val="center"/>
          </w:tcPr>
          <w:p w14:paraId="315CA3A8">
            <w:pPr>
              <w:spacing w:line="360" w:lineRule="auto"/>
              <w:rPr>
                <w:rFonts w:ascii="仿宋" w:hAnsi="仿宋" w:eastAsia="仿宋" w:cs="仿宋"/>
                <w:sz w:val="32"/>
                <w:szCs w:val="32"/>
              </w:rPr>
            </w:pPr>
            <w:r>
              <w:rPr>
                <w:rFonts w:hint="eastAsia" w:ascii="仿宋" w:hAnsi="仿宋" w:eastAsia="仿宋" w:cs="仿宋"/>
                <w:sz w:val="32"/>
                <w:szCs w:val="32"/>
              </w:rPr>
              <w:t>代码： 120202</w:t>
            </w:r>
          </w:p>
        </w:tc>
      </w:tr>
    </w:tbl>
    <w:p w14:paraId="5F9689F3">
      <w:pPr>
        <w:widowControl/>
        <w:spacing w:before="468" w:beforeLines="150" w:afterAutospacing="1"/>
        <w:ind w:firstLine="1374" w:firstLineChars="300"/>
        <w:rPr>
          <w:rFonts w:ascii="仿宋" w:hAnsi="仿宋" w:eastAsia="仿宋" w:cs="仿宋"/>
          <w:spacing w:val="69"/>
          <w:kern w:val="0"/>
          <w:position w:val="-15"/>
          <w:sz w:val="32"/>
          <w:szCs w:val="32"/>
          <w:lang w:bidi="ar"/>
        </w:rPr>
      </w:pPr>
    </w:p>
    <w:p w14:paraId="2D371D93">
      <w:pPr>
        <w:widowControl/>
        <w:spacing w:before="249" w:beforeLines="80" w:afterAutospacing="1"/>
        <w:ind w:firstLine="1374" w:firstLineChars="300"/>
        <w:jc w:val="left"/>
        <w:rPr>
          <w:rFonts w:ascii="仿宋" w:hAnsi="仿宋" w:eastAsia="仿宋" w:cs="仿宋"/>
          <w:spacing w:val="69"/>
          <w:kern w:val="0"/>
          <w:position w:val="-15"/>
          <w:sz w:val="32"/>
          <w:szCs w:val="32"/>
          <w:lang w:bidi="ar"/>
        </w:rPr>
      </w:pPr>
    </w:p>
    <w:p w14:paraId="36765244">
      <w:pPr>
        <w:widowControl/>
        <w:spacing w:before="249" w:beforeLines="80" w:afterAutospacing="1"/>
        <w:ind w:firstLine="1374" w:firstLineChars="300"/>
        <w:jc w:val="left"/>
        <w:rPr>
          <w:rFonts w:ascii="仿宋" w:hAnsi="仿宋" w:eastAsia="仿宋" w:cs="仿宋"/>
          <w:spacing w:val="69"/>
          <w:kern w:val="0"/>
          <w:position w:val="-15"/>
          <w:sz w:val="32"/>
          <w:szCs w:val="32"/>
          <w:lang w:bidi="ar"/>
        </w:rPr>
      </w:pPr>
    </w:p>
    <w:tbl>
      <w:tblPr>
        <w:tblStyle w:val="14"/>
        <w:tblpPr w:leftFromText="180" w:rightFromText="180" w:vertAnchor="text" w:horzAnchor="page" w:tblpX="3670" w:tblpY="36"/>
        <w:tblOverlap w:val="never"/>
        <w:tblW w:w="5040" w:type="dxa"/>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14:paraId="43337E00">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14:paraId="743EC794">
            <w:pPr>
              <w:spacing w:line="360" w:lineRule="auto"/>
              <w:jc w:val="right"/>
              <w:rPr>
                <w:rFonts w:ascii="仿宋" w:hAnsi="仿宋" w:eastAsia="仿宋" w:cs="仿宋"/>
                <w:sz w:val="32"/>
                <w:szCs w:val="32"/>
              </w:rPr>
            </w:pPr>
            <w:r>
              <w:rPr>
                <w:rFonts w:hint="eastAsia" w:ascii="仿宋" w:hAnsi="仿宋" w:eastAsia="仿宋" w:cs="仿宋"/>
                <w:sz w:val="32"/>
                <w:szCs w:val="32"/>
              </w:rPr>
              <w:t xml:space="preserve">授 权 级 别 </w:t>
            </w:r>
          </w:p>
        </w:tc>
        <w:tc>
          <w:tcPr>
            <w:tcW w:w="2880" w:type="dxa"/>
            <w:tcBorders>
              <w:bottom w:val="single" w:color="auto" w:sz="4" w:space="0"/>
            </w:tcBorders>
            <w:vAlign w:val="center"/>
          </w:tcPr>
          <w:p w14:paraId="277B608B">
            <w:pPr>
              <w:spacing w:line="360" w:lineRule="auto"/>
              <w:rPr>
                <w:rFonts w:ascii="仿宋" w:hAnsi="仿宋" w:eastAsia="仿宋" w:cs="仿宋"/>
                <w:sz w:val="32"/>
                <w:szCs w:val="32"/>
              </w:rPr>
            </w:pPr>
            <w:r>
              <w:rPr>
                <w:rFonts w:hint="eastAsia" w:ascii="仿宋" w:hAnsi="仿宋" w:eastAsia="仿宋" w:cs="仿宋"/>
                <w:spacing w:val="69"/>
                <w:kern w:val="0"/>
                <w:position w:val="-15"/>
                <w:sz w:val="32"/>
                <w:szCs w:val="32"/>
                <w:lang w:bidi="ar"/>
              </w:rPr>
              <w:sym w:font="Wingdings 2" w:char="00A3"/>
            </w:r>
            <w:r>
              <w:rPr>
                <w:rFonts w:hint="eastAsia" w:ascii="仿宋" w:hAnsi="仿宋" w:eastAsia="仿宋" w:cs="仿宋"/>
                <w:spacing w:val="69"/>
                <w:kern w:val="0"/>
                <w:position w:val="-15"/>
                <w:sz w:val="32"/>
                <w:szCs w:val="32"/>
                <w:lang w:bidi="ar"/>
              </w:rPr>
              <w:t>博士</w:t>
            </w:r>
          </w:p>
        </w:tc>
      </w:tr>
      <w:tr w14:paraId="7747E713">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14:paraId="2975A71C">
            <w:pPr>
              <w:spacing w:line="360" w:lineRule="auto"/>
              <w:jc w:val="center"/>
              <w:rPr>
                <w:rFonts w:ascii="仿宋" w:hAnsi="仿宋" w:eastAsia="仿宋" w:cs="仿宋"/>
                <w:sz w:val="32"/>
                <w:szCs w:val="32"/>
              </w:rPr>
            </w:pPr>
          </w:p>
        </w:tc>
        <w:tc>
          <w:tcPr>
            <w:tcW w:w="2880" w:type="dxa"/>
            <w:tcBorders>
              <w:top w:val="single" w:color="auto" w:sz="4" w:space="0"/>
            </w:tcBorders>
            <w:vAlign w:val="center"/>
          </w:tcPr>
          <w:p w14:paraId="2198A03C">
            <w:pPr>
              <w:spacing w:line="360" w:lineRule="auto"/>
              <w:rPr>
                <w:rFonts w:ascii="仿宋" w:hAnsi="仿宋" w:eastAsia="仿宋" w:cs="仿宋"/>
                <w:sz w:val="32"/>
                <w:szCs w:val="32"/>
              </w:rPr>
            </w:pPr>
            <w:r>
              <w:rPr>
                <w:rFonts w:hint="eastAsia" w:ascii="仿宋" w:hAnsi="仿宋" w:eastAsia="仿宋" w:cs="仿宋"/>
                <w:sz w:val="32"/>
                <w:szCs w:val="32"/>
              </w:rPr>
              <w:sym w:font="Wingdings 2" w:char="0052"/>
            </w:r>
            <w:r>
              <w:rPr>
                <w:rFonts w:hint="eastAsia" w:ascii="仿宋" w:hAnsi="仿宋" w:eastAsia="仿宋" w:cs="仿宋"/>
                <w:sz w:val="32"/>
                <w:szCs w:val="32"/>
              </w:rPr>
              <w:t xml:space="preserve">硕 士 </w:t>
            </w:r>
          </w:p>
        </w:tc>
      </w:tr>
    </w:tbl>
    <w:p w14:paraId="1C78B678">
      <w:pPr>
        <w:widowControl/>
        <w:spacing w:before="249" w:beforeLines="80" w:afterAutospacing="1"/>
        <w:ind w:firstLine="1374" w:firstLineChars="300"/>
        <w:jc w:val="left"/>
        <w:rPr>
          <w:rFonts w:ascii="仿宋" w:hAnsi="仿宋" w:eastAsia="仿宋" w:cs="仿宋"/>
          <w:spacing w:val="69"/>
          <w:kern w:val="0"/>
          <w:position w:val="-15"/>
          <w:sz w:val="32"/>
          <w:szCs w:val="32"/>
          <w:lang w:bidi="ar"/>
        </w:rPr>
      </w:pPr>
    </w:p>
    <w:p w14:paraId="5DFCE917">
      <w:pPr>
        <w:widowControl/>
        <w:spacing w:before="249" w:beforeLines="80" w:afterAutospacing="1"/>
        <w:ind w:firstLine="1374" w:firstLineChars="300"/>
        <w:jc w:val="left"/>
        <w:rPr>
          <w:rFonts w:ascii="仿宋" w:hAnsi="仿宋" w:eastAsia="仿宋" w:cs="仿宋"/>
          <w:spacing w:val="69"/>
          <w:kern w:val="0"/>
          <w:position w:val="-15"/>
          <w:sz w:val="32"/>
          <w:szCs w:val="32"/>
          <w:lang w:bidi="ar"/>
        </w:rPr>
      </w:pPr>
    </w:p>
    <w:p w14:paraId="4A870CD8">
      <w:pPr>
        <w:widowControl/>
        <w:spacing w:before="243" w:afterAutospacing="1"/>
        <w:ind w:firstLine="2880" w:firstLineChars="900"/>
        <w:jc w:val="left"/>
        <w:rPr>
          <w:rFonts w:ascii="仿宋" w:hAnsi="仿宋" w:eastAsia="仿宋" w:cs="仿宋"/>
          <w:kern w:val="0"/>
          <w:sz w:val="32"/>
          <w:szCs w:val="32"/>
        </w:rPr>
      </w:pPr>
    </w:p>
    <w:p w14:paraId="3A048D1E">
      <w:pPr>
        <w:widowControl/>
        <w:spacing w:before="298" w:afterAutospacing="1"/>
        <w:ind w:firstLine="3047"/>
        <w:jc w:val="left"/>
        <w:rPr>
          <w:rFonts w:ascii="仿宋" w:hAnsi="仿宋" w:eastAsia="仿宋" w:cs="仿宋"/>
          <w:kern w:val="0"/>
          <w:sz w:val="32"/>
          <w:szCs w:val="32"/>
        </w:rPr>
      </w:pPr>
      <w:r>
        <w:rPr>
          <w:rFonts w:eastAsia="仿宋"/>
          <w:spacing w:val="-11"/>
          <w:kern w:val="0"/>
          <w:sz w:val="32"/>
          <w:szCs w:val="32"/>
          <w:lang w:bidi="ar"/>
        </w:rPr>
        <w:t>2024</w:t>
      </w:r>
      <w:r>
        <w:rPr>
          <w:rFonts w:hint="eastAsia" w:ascii="仿宋" w:hAnsi="仿宋" w:eastAsia="仿宋" w:cs="仿宋"/>
          <w:spacing w:val="-11"/>
          <w:kern w:val="0"/>
          <w:sz w:val="32"/>
          <w:szCs w:val="32"/>
          <w:lang w:bidi="ar"/>
        </w:rPr>
        <w:t>年</w:t>
      </w:r>
      <w:r>
        <w:rPr>
          <w:rFonts w:eastAsia="仿宋"/>
          <w:spacing w:val="-11"/>
          <w:kern w:val="0"/>
          <w:sz w:val="32"/>
          <w:szCs w:val="32"/>
          <w:lang w:bidi="ar"/>
        </w:rPr>
        <w:t>12月6</w:t>
      </w:r>
      <w:r>
        <w:rPr>
          <w:rFonts w:hint="eastAsia" w:ascii="仿宋" w:hAnsi="仿宋" w:eastAsia="仿宋" w:cs="仿宋"/>
          <w:spacing w:val="-11"/>
          <w:kern w:val="0"/>
          <w:sz w:val="32"/>
          <w:szCs w:val="32"/>
          <w:lang w:bidi="ar"/>
        </w:rPr>
        <w:t>日</w:t>
      </w:r>
    </w:p>
    <w:p w14:paraId="5BA678C9">
      <w:pPr>
        <w:spacing w:before="312" w:beforeLines="100" w:after="312" w:afterLines="100"/>
        <w:jc w:val="center"/>
        <w:rPr>
          <w:rFonts w:ascii="黑体" w:hAnsi="黑体" w:eastAsia="黑体" w:cs="黑体"/>
          <w:bCs/>
          <w:sz w:val="44"/>
          <w:szCs w:val="44"/>
        </w:rPr>
      </w:pPr>
      <w:r>
        <w:rPr>
          <w:rFonts w:hint="eastAsia" w:ascii="黑体" w:hAnsi="黑体" w:eastAsia="黑体" w:cs="黑体"/>
          <w:bCs/>
          <w:sz w:val="44"/>
          <w:szCs w:val="44"/>
        </w:rPr>
        <w:t xml:space="preserve"> </w:t>
      </w:r>
    </w:p>
    <w:sdt>
      <w:sdtPr>
        <w:rPr>
          <w:rFonts w:ascii="黑体" w:hAnsi="黑体" w:eastAsia="黑体" w:cs="黑体"/>
          <w:bCs/>
          <w:sz w:val="44"/>
          <w:szCs w:val="44"/>
        </w:rPr>
        <w:id w:val="-2004427876"/>
        <w:docPartObj>
          <w:docPartGallery w:val="Table of Contents"/>
          <w:docPartUnique/>
        </w:docPartObj>
      </w:sdtPr>
      <w:sdtEndPr>
        <w:rPr>
          <w:rFonts w:ascii="Times New Roman" w:hAnsi="Times New Roman" w:eastAsia="宋体" w:cs="Times New Roman"/>
          <w:b/>
          <w:bCs/>
          <w:sz w:val="21"/>
          <w:szCs w:val="20"/>
          <w:lang w:val="zh-CN"/>
        </w:rPr>
      </w:sdtEndPr>
      <w:sdtContent>
        <w:p w14:paraId="1C749C66">
          <w:pPr>
            <w:spacing w:before="312" w:beforeLines="100" w:after="312" w:afterLines="100"/>
            <w:jc w:val="center"/>
          </w:pPr>
          <w:bookmarkStart w:id="51" w:name="_GoBack"/>
          <w:bookmarkEnd w:id="51"/>
          <w:r>
            <w:rPr>
              <w:rFonts w:hint="eastAsia" w:ascii="黑体" w:hAnsi="黑体" w:eastAsia="黑体" w:cs="黑体"/>
              <w:bCs/>
              <w:sz w:val="44"/>
              <w:szCs w:val="44"/>
            </w:rPr>
            <w:t xml:space="preserve">目 </w:t>
          </w:r>
          <w:r>
            <w:rPr>
              <w:rFonts w:ascii="黑体" w:hAnsi="黑体" w:eastAsia="黑体" w:cs="黑体"/>
              <w:bCs/>
              <w:sz w:val="44"/>
              <w:szCs w:val="44"/>
            </w:rPr>
            <w:t xml:space="preserve"> </w:t>
          </w:r>
          <w:r>
            <w:rPr>
              <w:rFonts w:hint="eastAsia" w:ascii="黑体" w:hAnsi="黑体" w:eastAsia="黑体" w:cs="黑体"/>
              <w:bCs/>
              <w:sz w:val="44"/>
              <w:szCs w:val="44"/>
            </w:rPr>
            <w:t>录</w:t>
          </w:r>
        </w:p>
        <w:p w14:paraId="40A0C5AE">
          <w:pPr>
            <w:pStyle w:val="13"/>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TOC \o "1-3" \h \z \u </w:instrText>
          </w:r>
          <w:r>
            <w:fldChar w:fldCharType="separate"/>
          </w:r>
          <w:r>
            <w:fldChar w:fldCharType="begin"/>
          </w:r>
          <w:r>
            <w:instrText xml:space="preserve"> HYPERLINK \l "_Toc92275532" </w:instrText>
          </w:r>
          <w:r>
            <w:fldChar w:fldCharType="separate"/>
          </w:r>
          <w:r>
            <w:rPr>
              <w:rStyle w:val="18"/>
              <w:rFonts w:ascii="黑体" w:hAnsi="黑体" w:eastAsia="黑体"/>
              <w:color w:val="auto"/>
              <w:sz w:val="24"/>
              <w:szCs w:val="24"/>
            </w:rPr>
            <w:t>一、总体概况</w:t>
          </w:r>
          <w:r>
            <w:rPr>
              <w:sz w:val="24"/>
              <w:szCs w:val="24"/>
            </w:rPr>
            <w:tab/>
          </w:r>
          <w:r>
            <w:rPr>
              <w:sz w:val="24"/>
              <w:szCs w:val="24"/>
            </w:rPr>
            <w:fldChar w:fldCharType="begin"/>
          </w:r>
          <w:r>
            <w:rPr>
              <w:sz w:val="24"/>
              <w:szCs w:val="24"/>
            </w:rPr>
            <w:instrText xml:space="preserve"> PAGEREF _Toc92275532 \h </w:instrText>
          </w:r>
          <w:r>
            <w:rPr>
              <w:sz w:val="24"/>
              <w:szCs w:val="24"/>
            </w:rPr>
            <w:fldChar w:fldCharType="separate"/>
          </w:r>
          <w:r>
            <w:rPr>
              <w:sz w:val="24"/>
              <w:szCs w:val="24"/>
            </w:rPr>
            <w:t>1</w:t>
          </w:r>
          <w:r>
            <w:rPr>
              <w:sz w:val="24"/>
              <w:szCs w:val="24"/>
            </w:rPr>
            <w:fldChar w:fldCharType="end"/>
          </w:r>
          <w:r>
            <w:rPr>
              <w:sz w:val="24"/>
              <w:szCs w:val="24"/>
            </w:rPr>
            <w:fldChar w:fldCharType="end"/>
          </w:r>
        </w:p>
        <w:p w14:paraId="72CC68C4">
          <w:pPr>
            <w:pStyle w:val="9"/>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"_Toc92275533" </w:instrText>
          </w:r>
          <w:r>
            <w:fldChar w:fldCharType="separate"/>
          </w:r>
          <w:r>
            <w:rPr>
              <w:rStyle w:val="18"/>
              <w:rFonts w:eastAsia="仿宋_GB2312"/>
              <w:color w:val="auto"/>
              <w:sz w:val="24"/>
              <w:szCs w:val="24"/>
            </w:rPr>
            <w:t>1.学位授权点基本情况</w:t>
          </w:r>
          <w:r>
            <w:rPr>
              <w:sz w:val="24"/>
              <w:szCs w:val="24"/>
            </w:rPr>
            <w:tab/>
          </w:r>
          <w:r>
            <w:rPr>
              <w:sz w:val="24"/>
              <w:szCs w:val="24"/>
            </w:rPr>
            <w:fldChar w:fldCharType="begin"/>
          </w:r>
          <w:r>
            <w:rPr>
              <w:sz w:val="24"/>
              <w:szCs w:val="24"/>
            </w:rPr>
            <w:instrText xml:space="preserve"> PAGEREF _Toc92275533 \h </w:instrText>
          </w:r>
          <w:r>
            <w:rPr>
              <w:sz w:val="24"/>
              <w:szCs w:val="24"/>
            </w:rPr>
            <w:fldChar w:fldCharType="separate"/>
          </w:r>
          <w:r>
            <w:rPr>
              <w:sz w:val="24"/>
              <w:szCs w:val="24"/>
            </w:rPr>
            <w:t>1</w:t>
          </w:r>
          <w:r>
            <w:rPr>
              <w:sz w:val="24"/>
              <w:szCs w:val="24"/>
            </w:rPr>
            <w:fldChar w:fldCharType="end"/>
          </w:r>
          <w:r>
            <w:rPr>
              <w:sz w:val="24"/>
              <w:szCs w:val="24"/>
            </w:rPr>
            <w:fldChar w:fldCharType="end"/>
          </w:r>
        </w:p>
        <w:p w14:paraId="26DC2F20">
          <w:pPr>
            <w:pStyle w:val="9"/>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"_Toc92275534" </w:instrText>
          </w:r>
          <w:r>
            <w:fldChar w:fldCharType="separate"/>
          </w:r>
          <w:r>
            <w:rPr>
              <w:rStyle w:val="18"/>
              <w:rFonts w:eastAsia="仿宋_GB2312"/>
              <w:color w:val="auto"/>
              <w:sz w:val="24"/>
              <w:szCs w:val="24"/>
            </w:rPr>
            <w:t>2.学位授权点建设情况</w:t>
          </w:r>
          <w:r>
            <w:rPr>
              <w:sz w:val="24"/>
              <w:szCs w:val="24"/>
            </w:rPr>
            <w:tab/>
          </w:r>
          <w:r>
            <w:rPr>
              <w:sz w:val="24"/>
              <w:szCs w:val="24"/>
            </w:rPr>
            <w:fldChar w:fldCharType="begin"/>
          </w:r>
          <w:r>
            <w:rPr>
              <w:sz w:val="24"/>
              <w:szCs w:val="24"/>
            </w:rPr>
            <w:instrText xml:space="preserve"> PAGEREF _Toc92275534 \h </w:instrText>
          </w:r>
          <w:r>
            <w:rPr>
              <w:sz w:val="24"/>
              <w:szCs w:val="24"/>
            </w:rPr>
            <w:fldChar w:fldCharType="separate"/>
          </w:r>
          <w:r>
            <w:rPr>
              <w:sz w:val="24"/>
              <w:szCs w:val="24"/>
            </w:rPr>
            <w:t>1</w:t>
          </w:r>
          <w:r>
            <w:rPr>
              <w:sz w:val="24"/>
              <w:szCs w:val="24"/>
            </w:rPr>
            <w:fldChar w:fldCharType="end"/>
          </w:r>
          <w:r>
            <w:rPr>
              <w:sz w:val="24"/>
              <w:szCs w:val="24"/>
            </w:rPr>
            <w:fldChar w:fldCharType="end"/>
          </w:r>
        </w:p>
        <w:p w14:paraId="6808A548">
          <w:pPr>
            <w:pStyle w:val="9"/>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"_Toc92275535" </w:instrText>
          </w:r>
          <w:r>
            <w:fldChar w:fldCharType="separate"/>
          </w:r>
          <w:r>
            <w:rPr>
              <w:rStyle w:val="18"/>
              <w:rFonts w:eastAsia="仿宋_GB2312"/>
              <w:color w:val="auto"/>
              <w:sz w:val="24"/>
              <w:szCs w:val="24"/>
            </w:rPr>
            <w:t>3.研究生招生就业情况</w:t>
          </w:r>
          <w:r>
            <w:rPr>
              <w:sz w:val="24"/>
              <w:szCs w:val="24"/>
            </w:rPr>
            <w:tab/>
          </w:r>
          <w:r>
            <w:rPr>
              <w:sz w:val="24"/>
              <w:szCs w:val="24"/>
            </w:rPr>
            <w:fldChar w:fldCharType="begin"/>
          </w:r>
          <w:r>
            <w:rPr>
              <w:sz w:val="24"/>
              <w:szCs w:val="24"/>
            </w:rPr>
            <w:instrText xml:space="preserve"> PAGEREF _Toc92275535 \h </w:instrText>
          </w:r>
          <w:r>
            <w:rPr>
              <w:sz w:val="24"/>
              <w:szCs w:val="24"/>
            </w:rPr>
            <w:fldChar w:fldCharType="separate"/>
          </w:r>
          <w:r>
            <w:rPr>
              <w:sz w:val="24"/>
              <w:szCs w:val="24"/>
            </w:rPr>
            <w:t>2</w:t>
          </w:r>
          <w:r>
            <w:rPr>
              <w:sz w:val="24"/>
              <w:szCs w:val="24"/>
            </w:rPr>
            <w:fldChar w:fldCharType="end"/>
          </w:r>
          <w:r>
            <w:rPr>
              <w:sz w:val="24"/>
              <w:szCs w:val="24"/>
            </w:rPr>
            <w:fldChar w:fldCharType="end"/>
          </w:r>
        </w:p>
        <w:p w14:paraId="2EB9A003">
          <w:pPr>
            <w:pStyle w:val="9"/>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"_Toc92275536" </w:instrText>
          </w:r>
          <w:r>
            <w:fldChar w:fldCharType="separate"/>
          </w:r>
          <w:r>
            <w:rPr>
              <w:rStyle w:val="18"/>
              <w:rFonts w:eastAsia="仿宋_GB2312"/>
              <w:color w:val="auto"/>
              <w:sz w:val="24"/>
              <w:szCs w:val="24"/>
            </w:rPr>
            <w:t>4.研究生导师状况</w:t>
          </w:r>
          <w:r>
            <w:rPr>
              <w:sz w:val="24"/>
              <w:szCs w:val="24"/>
            </w:rPr>
            <w:tab/>
          </w:r>
          <w:r>
            <w:rPr>
              <w:sz w:val="24"/>
              <w:szCs w:val="24"/>
            </w:rPr>
            <w:fldChar w:fldCharType="begin"/>
          </w:r>
          <w:r>
            <w:rPr>
              <w:sz w:val="24"/>
              <w:szCs w:val="24"/>
            </w:rPr>
            <w:instrText xml:space="preserve"> PAGEREF _Toc92275536 \h </w:instrText>
          </w:r>
          <w:r>
            <w:rPr>
              <w:sz w:val="24"/>
              <w:szCs w:val="24"/>
            </w:rPr>
            <w:fldChar w:fldCharType="separate"/>
          </w:r>
          <w:r>
            <w:rPr>
              <w:sz w:val="24"/>
              <w:szCs w:val="24"/>
            </w:rPr>
            <w:t>2</w:t>
          </w:r>
          <w:r>
            <w:rPr>
              <w:sz w:val="24"/>
              <w:szCs w:val="24"/>
            </w:rPr>
            <w:fldChar w:fldCharType="end"/>
          </w:r>
          <w:r>
            <w:rPr>
              <w:sz w:val="24"/>
              <w:szCs w:val="24"/>
            </w:rPr>
            <w:fldChar w:fldCharType="end"/>
          </w:r>
        </w:p>
        <w:p w14:paraId="223C594D">
          <w:pPr>
            <w:pStyle w:val="13"/>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"_Toc92275537" </w:instrText>
          </w:r>
          <w:r>
            <w:fldChar w:fldCharType="separate"/>
          </w:r>
          <w:r>
            <w:rPr>
              <w:rStyle w:val="18"/>
              <w:rFonts w:ascii="黑体" w:hAnsi="黑体" w:eastAsia="黑体"/>
              <w:color w:val="auto"/>
              <w:sz w:val="24"/>
              <w:szCs w:val="24"/>
            </w:rPr>
            <w:t>二、研究生党建与思想政治教育工作</w:t>
          </w:r>
          <w:r>
            <w:rPr>
              <w:sz w:val="24"/>
              <w:szCs w:val="24"/>
            </w:rPr>
            <w:tab/>
          </w:r>
          <w:r>
            <w:rPr>
              <w:sz w:val="24"/>
              <w:szCs w:val="24"/>
            </w:rPr>
            <w:fldChar w:fldCharType="begin"/>
          </w:r>
          <w:r>
            <w:rPr>
              <w:sz w:val="24"/>
              <w:szCs w:val="24"/>
            </w:rPr>
            <w:instrText xml:space="preserve"> PAGEREF _Toc92275537 \h </w:instrText>
          </w:r>
          <w:r>
            <w:rPr>
              <w:sz w:val="24"/>
              <w:szCs w:val="24"/>
            </w:rPr>
            <w:fldChar w:fldCharType="separate"/>
          </w:r>
          <w:r>
            <w:rPr>
              <w:sz w:val="24"/>
              <w:szCs w:val="24"/>
            </w:rPr>
            <w:t>2</w:t>
          </w:r>
          <w:r>
            <w:rPr>
              <w:sz w:val="24"/>
              <w:szCs w:val="24"/>
            </w:rPr>
            <w:fldChar w:fldCharType="end"/>
          </w:r>
          <w:r>
            <w:rPr>
              <w:sz w:val="24"/>
              <w:szCs w:val="24"/>
            </w:rPr>
            <w:fldChar w:fldCharType="end"/>
          </w:r>
        </w:p>
        <w:p w14:paraId="003A9A05">
          <w:pPr>
            <w:pStyle w:val="9"/>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"_Toc92275538" </w:instrText>
          </w:r>
          <w:r>
            <w:fldChar w:fldCharType="separate"/>
          </w:r>
          <w:r>
            <w:rPr>
              <w:rStyle w:val="18"/>
              <w:rFonts w:ascii="仿宋" w:hAnsi="仿宋" w:eastAsia="仿宋"/>
              <w:color w:val="auto"/>
              <w:w w:val="110"/>
              <w:sz w:val="24"/>
              <w:szCs w:val="24"/>
            </w:rPr>
            <w:t>1. 思想政治教育队伍建设</w:t>
          </w:r>
          <w:r>
            <w:rPr>
              <w:sz w:val="24"/>
              <w:szCs w:val="24"/>
            </w:rPr>
            <w:tab/>
          </w:r>
          <w:r>
            <w:rPr>
              <w:sz w:val="24"/>
              <w:szCs w:val="24"/>
            </w:rPr>
            <w:fldChar w:fldCharType="begin"/>
          </w:r>
          <w:r>
            <w:rPr>
              <w:sz w:val="24"/>
              <w:szCs w:val="24"/>
            </w:rPr>
            <w:instrText xml:space="preserve"> PAGEREF _Toc92275538 \h </w:instrText>
          </w:r>
          <w:r>
            <w:rPr>
              <w:sz w:val="24"/>
              <w:szCs w:val="24"/>
            </w:rPr>
            <w:fldChar w:fldCharType="separate"/>
          </w:r>
          <w:r>
            <w:rPr>
              <w:sz w:val="24"/>
              <w:szCs w:val="24"/>
            </w:rPr>
            <w:t>3</w:t>
          </w:r>
          <w:r>
            <w:rPr>
              <w:sz w:val="24"/>
              <w:szCs w:val="24"/>
            </w:rPr>
            <w:fldChar w:fldCharType="end"/>
          </w:r>
          <w:r>
            <w:rPr>
              <w:sz w:val="24"/>
              <w:szCs w:val="24"/>
            </w:rPr>
            <w:fldChar w:fldCharType="end"/>
          </w:r>
        </w:p>
        <w:p w14:paraId="63336A63">
          <w:pPr>
            <w:pStyle w:val="9"/>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"_Toc92275539" </w:instrText>
          </w:r>
          <w:r>
            <w:fldChar w:fldCharType="separate"/>
          </w:r>
          <w:r>
            <w:rPr>
              <w:rStyle w:val="18"/>
              <w:rFonts w:ascii="仿宋" w:hAnsi="仿宋" w:eastAsia="仿宋"/>
              <w:color w:val="auto"/>
              <w:w w:val="110"/>
              <w:sz w:val="24"/>
              <w:szCs w:val="24"/>
            </w:rPr>
            <w:t>2. 理想</w:t>
          </w:r>
          <w:r>
            <w:rPr>
              <w:rStyle w:val="18"/>
              <w:rFonts w:eastAsia="仿宋_GB2312"/>
              <w:color w:val="auto"/>
              <w:sz w:val="24"/>
              <w:szCs w:val="24"/>
            </w:rPr>
            <w:t>信念</w:t>
          </w:r>
          <w:r>
            <w:rPr>
              <w:rStyle w:val="18"/>
              <w:rFonts w:ascii="仿宋" w:hAnsi="仿宋" w:eastAsia="仿宋"/>
              <w:color w:val="auto"/>
              <w:w w:val="110"/>
              <w:sz w:val="24"/>
              <w:szCs w:val="24"/>
            </w:rPr>
            <w:t>和社会主义核心价值观教育</w:t>
          </w:r>
          <w:r>
            <w:rPr>
              <w:sz w:val="24"/>
              <w:szCs w:val="24"/>
            </w:rPr>
            <w:tab/>
          </w:r>
          <w:r>
            <w:rPr>
              <w:sz w:val="24"/>
              <w:szCs w:val="24"/>
            </w:rPr>
            <w:fldChar w:fldCharType="begin"/>
          </w:r>
          <w:r>
            <w:rPr>
              <w:sz w:val="24"/>
              <w:szCs w:val="24"/>
            </w:rPr>
            <w:instrText xml:space="preserve"> PAGEREF _Toc92275539 \h </w:instrText>
          </w:r>
          <w:r>
            <w:rPr>
              <w:sz w:val="24"/>
              <w:szCs w:val="24"/>
            </w:rPr>
            <w:fldChar w:fldCharType="separate"/>
          </w:r>
          <w:r>
            <w:rPr>
              <w:sz w:val="24"/>
              <w:szCs w:val="24"/>
            </w:rPr>
            <w:t>3</w:t>
          </w:r>
          <w:r>
            <w:rPr>
              <w:sz w:val="24"/>
              <w:szCs w:val="24"/>
            </w:rPr>
            <w:fldChar w:fldCharType="end"/>
          </w:r>
          <w:r>
            <w:rPr>
              <w:sz w:val="24"/>
              <w:szCs w:val="24"/>
            </w:rPr>
            <w:fldChar w:fldCharType="end"/>
          </w:r>
        </w:p>
        <w:p w14:paraId="46853720">
          <w:pPr>
            <w:pStyle w:val="9"/>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"_Toc92275540" </w:instrText>
          </w:r>
          <w:r>
            <w:fldChar w:fldCharType="separate"/>
          </w:r>
          <w:r>
            <w:rPr>
              <w:rStyle w:val="18"/>
              <w:rFonts w:ascii="仿宋" w:hAnsi="仿宋" w:eastAsia="仿宋"/>
              <w:color w:val="auto"/>
              <w:w w:val="110"/>
              <w:sz w:val="24"/>
              <w:szCs w:val="24"/>
            </w:rPr>
            <w:t>3. 学位点</w:t>
          </w:r>
          <w:r>
            <w:rPr>
              <w:rStyle w:val="18"/>
              <w:rFonts w:eastAsia="仿宋_GB2312"/>
              <w:color w:val="auto"/>
              <w:sz w:val="24"/>
              <w:szCs w:val="24"/>
            </w:rPr>
            <w:t>文化</w:t>
          </w:r>
          <w:r>
            <w:rPr>
              <w:rStyle w:val="18"/>
              <w:rFonts w:ascii="仿宋" w:hAnsi="仿宋" w:eastAsia="仿宋"/>
              <w:color w:val="auto"/>
              <w:w w:val="110"/>
              <w:sz w:val="24"/>
              <w:szCs w:val="24"/>
            </w:rPr>
            <w:t>建设情况</w:t>
          </w:r>
          <w:r>
            <w:rPr>
              <w:sz w:val="24"/>
              <w:szCs w:val="24"/>
            </w:rPr>
            <w:tab/>
          </w:r>
          <w:r>
            <w:rPr>
              <w:sz w:val="24"/>
              <w:szCs w:val="24"/>
            </w:rPr>
            <w:fldChar w:fldCharType="begin"/>
          </w:r>
          <w:r>
            <w:rPr>
              <w:sz w:val="24"/>
              <w:szCs w:val="24"/>
            </w:rPr>
            <w:instrText xml:space="preserve"> PAGEREF _Toc92275540 \h </w:instrText>
          </w:r>
          <w:r>
            <w:rPr>
              <w:sz w:val="24"/>
              <w:szCs w:val="24"/>
            </w:rPr>
            <w:fldChar w:fldCharType="separate"/>
          </w:r>
          <w:r>
            <w:rPr>
              <w:sz w:val="24"/>
              <w:szCs w:val="24"/>
            </w:rPr>
            <w:t>3</w:t>
          </w:r>
          <w:r>
            <w:rPr>
              <w:sz w:val="24"/>
              <w:szCs w:val="24"/>
            </w:rPr>
            <w:fldChar w:fldCharType="end"/>
          </w:r>
          <w:r>
            <w:rPr>
              <w:sz w:val="24"/>
              <w:szCs w:val="24"/>
            </w:rPr>
            <w:fldChar w:fldCharType="end"/>
          </w:r>
        </w:p>
        <w:p w14:paraId="7FA0A2B5">
          <w:pPr>
            <w:pStyle w:val="9"/>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"_Toc92275541" </w:instrText>
          </w:r>
          <w:r>
            <w:fldChar w:fldCharType="separate"/>
          </w:r>
          <w:r>
            <w:rPr>
              <w:rStyle w:val="18"/>
              <w:rFonts w:ascii="仿宋" w:hAnsi="仿宋" w:eastAsia="仿宋"/>
              <w:color w:val="auto"/>
              <w:w w:val="110"/>
              <w:sz w:val="24"/>
              <w:szCs w:val="24"/>
            </w:rPr>
            <w:t>4. 学位点日常</w:t>
          </w:r>
          <w:r>
            <w:rPr>
              <w:rStyle w:val="18"/>
              <w:rFonts w:eastAsia="仿宋_GB2312"/>
              <w:color w:val="auto"/>
              <w:sz w:val="24"/>
              <w:szCs w:val="24"/>
            </w:rPr>
            <w:t>管理</w:t>
          </w:r>
          <w:r>
            <w:rPr>
              <w:rStyle w:val="18"/>
              <w:rFonts w:ascii="仿宋" w:hAnsi="仿宋" w:eastAsia="仿宋"/>
              <w:color w:val="auto"/>
              <w:w w:val="110"/>
              <w:sz w:val="24"/>
              <w:szCs w:val="24"/>
            </w:rPr>
            <w:t>、服务工作情况</w:t>
          </w:r>
          <w:r>
            <w:rPr>
              <w:sz w:val="24"/>
              <w:szCs w:val="24"/>
            </w:rPr>
            <w:tab/>
          </w:r>
          <w:r>
            <w:rPr>
              <w:sz w:val="24"/>
              <w:szCs w:val="24"/>
            </w:rPr>
            <w:fldChar w:fldCharType="begin"/>
          </w:r>
          <w:r>
            <w:rPr>
              <w:sz w:val="24"/>
              <w:szCs w:val="24"/>
            </w:rPr>
            <w:instrText xml:space="preserve"> PAGEREF _Toc92275541 \h </w:instrText>
          </w:r>
          <w:r>
            <w:rPr>
              <w:sz w:val="24"/>
              <w:szCs w:val="24"/>
            </w:rPr>
            <w:fldChar w:fldCharType="separate"/>
          </w:r>
          <w:r>
            <w:rPr>
              <w:sz w:val="24"/>
              <w:szCs w:val="24"/>
            </w:rPr>
            <w:t>5</w:t>
          </w:r>
          <w:r>
            <w:rPr>
              <w:sz w:val="24"/>
              <w:szCs w:val="24"/>
            </w:rPr>
            <w:fldChar w:fldCharType="end"/>
          </w:r>
          <w:r>
            <w:rPr>
              <w:sz w:val="24"/>
              <w:szCs w:val="24"/>
            </w:rPr>
            <w:fldChar w:fldCharType="end"/>
          </w:r>
        </w:p>
        <w:p w14:paraId="508F0306">
          <w:pPr>
            <w:pStyle w:val="13"/>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"_Toc92275542" </w:instrText>
          </w:r>
          <w:r>
            <w:fldChar w:fldCharType="separate"/>
          </w:r>
          <w:r>
            <w:rPr>
              <w:rStyle w:val="18"/>
              <w:rFonts w:ascii="黑体" w:hAnsi="黑体" w:eastAsia="黑体"/>
              <w:color w:val="auto"/>
              <w:sz w:val="24"/>
              <w:szCs w:val="24"/>
            </w:rPr>
            <w:t>三、研究生培养相关制度及执行情况</w:t>
          </w:r>
          <w:r>
            <w:rPr>
              <w:sz w:val="24"/>
              <w:szCs w:val="24"/>
            </w:rPr>
            <w:tab/>
          </w:r>
          <w:r>
            <w:rPr>
              <w:sz w:val="24"/>
              <w:szCs w:val="24"/>
            </w:rPr>
            <w:fldChar w:fldCharType="begin"/>
          </w:r>
          <w:r>
            <w:rPr>
              <w:sz w:val="24"/>
              <w:szCs w:val="24"/>
            </w:rPr>
            <w:instrText xml:space="preserve"> PAGEREF _Toc92275542 \h </w:instrText>
          </w:r>
          <w:r>
            <w:rPr>
              <w:sz w:val="24"/>
              <w:szCs w:val="24"/>
            </w:rPr>
            <w:fldChar w:fldCharType="separate"/>
          </w:r>
          <w:r>
            <w:rPr>
              <w:sz w:val="24"/>
              <w:szCs w:val="24"/>
            </w:rPr>
            <w:t>5</w:t>
          </w:r>
          <w:r>
            <w:rPr>
              <w:sz w:val="24"/>
              <w:szCs w:val="24"/>
            </w:rPr>
            <w:fldChar w:fldCharType="end"/>
          </w:r>
          <w:r>
            <w:rPr>
              <w:sz w:val="24"/>
              <w:szCs w:val="24"/>
            </w:rPr>
            <w:fldChar w:fldCharType="end"/>
          </w:r>
        </w:p>
        <w:p w14:paraId="1973CE08">
          <w:pPr>
            <w:pStyle w:val="9"/>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"_Toc92275543" </w:instrText>
          </w:r>
          <w:r>
            <w:fldChar w:fldCharType="separate"/>
          </w:r>
          <w:r>
            <w:rPr>
              <w:rStyle w:val="18"/>
              <w:rFonts w:ascii="仿宋" w:hAnsi="仿宋" w:eastAsia="仿宋"/>
              <w:color w:val="auto"/>
              <w:w w:val="110"/>
              <w:sz w:val="24"/>
              <w:szCs w:val="24"/>
            </w:rPr>
            <w:t>1. 课程建设与实施情况</w:t>
          </w:r>
          <w:r>
            <w:rPr>
              <w:sz w:val="24"/>
              <w:szCs w:val="24"/>
            </w:rPr>
            <w:tab/>
          </w:r>
          <w:r>
            <w:rPr>
              <w:sz w:val="24"/>
              <w:szCs w:val="24"/>
            </w:rPr>
            <w:fldChar w:fldCharType="begin"/>
          </w:r>
          <w:r>
            <w:rPr>
              <w:sz w:val="24"/>
              <w:szCs w:val="24"/>
            </w:rPr>
            <w:instrText xml:space="preserve"> PAGEREF _Toc92275543 \h </w:instrText>
          </w:r>
          <w:r>
            <w:rPr>
              <w:sz w:val="24"/>
              <w:szCs w:val="24"/>
            </w:rPr>
            <w:fldChar w:fldCharType="separate"/>
          </w:r>
          <w:r>
            <w:rPr>
              <w:sz w:val="24"/>
              <w:szCs w:val="24"/>
            </w:rPr>
            <w:t>5</w:t>
          </w:r>
          <w:r>
            <w:rPr>
              <w:sz w:val="24"/>
              <w:szCs w:val="24"/>
            </w:rPr>
            <w:fldChar w:fldCharType="end"/>
          </w:r>
          <w:r>
            <w:rPr>
              <w:sz w:val="24"/>
              <w:szCs w:val="24"/>
            </w:rPr>
            <w:fldChar w:fldCharType="end"/>
          </w:r>
        </w:p>
        <w:p w14:paraId="0AB3BC03">
          <w:pPr>
            <w:pStyle w:val="9"/>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"_Toc92275544" </w:instrText>
          </w:r>
          <w:r>
            <w:fldChar w:fldCharType="separate"/>
          </w:r>
          <w:r>
            <w:rPr>
              <w:rStyle w:val="18"/>
              <w:rFonts w:ascii="仿宋" w:hAnsi="仿宋" w:eastAsia="仿宋"/>
              <w:color w:val="auto"/>
              <w:w w:val="110"/>
              <w:sz w:val="24"/>
              <w:szCs w:val="24"/>
            </w:rPr>
            <w:t>2. 导师选拔与</w:t>
          </w:r>
          <w:r>
            <w:rPr>
              <w:rStyle w:val="18"/>
              <w:rFonts w:eastAsia="仿宋_GB2312"/>
              <w:color w:val="auto"/>
              <w:sz w:val="24"/>
              <w:szCs w:val="24"/>
            </w:rPr>
            <w:t>培训</w:t>
          </w:r>
          <w:r>
            <w:rPr>
              <w:rStyle w:val="18"/>
              <w:rFonts w:ascii="仿宋" w:hAnsi="仿宋" w:eastAsia="仿宋"/>
              <w:color w:val="auto"/>
              <w:w w:val="110"/>
              <w:sz w:val="24"/>
              <w:szCs w:val="24"/>
            </w:rPr>
            <w:t>情况</w:t>
          </w:r>
          <w:r>
            <w:rPr>
              <w:sz w:val="24"/>
              <w:szCs w:val="24"/>
            </w:rPr>
            <w:tab/>
          </w:r>
          <w:r>
            <w:rPr>
              <w:sz w:val="24"/>
              <w:szCs w:val="24"/>
            </w:rPr>
            <w:fldChar w:fldCharType="begin"/>
          </w:r>
          <w:r>
            <w:rPr>
              <w:sz w:val="24"/>
              <w:szCs w:val="24"/>
            </w:rPr>
            <w:instrText xml:space="preserve"> PAGEREF _Toc92275544 \h </w:instrText>
          </w:r>
          <w:r>
            <w:rPr>
              <w:sz w:val="24"/>
              <w:szCs w:val="24"/>
            </w:rPr>
            <w:fldChar w:fldCharType="separate"/>
          </w:r>
          <w:r>
            <w:rPr>
              <w:sz w:val="24"/>
              <w:szCs w:val="24"/>
            </w:rPr>
            <w:t>6</w:t>
          </w:r>
          <w:r>
            <w:rPr>
              <w:sz w:val="24"/>
              <w:szCs w:val="24"/>
            </w:rPr>
            <w:fldChar w:fldCharType="end"/>
          </w:r>
          <w:r>
            <w:rPr>
              <w:sz w:val="24"/>
              <w:szCs w:val="24"/>
            </w:rPr>
            <w:fldChar w:fldCharType="end"/>
          </w:r>
        </w:p>
        <w:p w14:paraId="2C406DEC">
          <w:pPr>
            <w:pStyle w:val="9"/>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"_Toc92275545" </w:instrText>
          </w:r>
          <w:r>
            <w:fldChar w:fldCharType="separate"/>
          </w:r>
          <w:r>
            <w:rPr>
              <w:rStyle w:val="18"/>
              <w:rFonts w:ascii="仿宋" w:hAnsi="仿宋" w:eastAsia="仿宋"/>
              <w:color w:val="auto"/>
              <w:w w:val="110"/>
              <w:sz w:val="24"/>
              <w:szCs w:val="24"/>
            </w:rPr>
            <w:t>3. 师德师风建设情况</w:t>
          </w:r>
          <w:r>
            <w:rPr>
              <w:sz w:val="24"/>
              <w:szCs w:val="24"/>
            </w:rPr>
            <w:tab/>
          </w:r>
          <w:r>
            <w:rPr>
              <w:sz w:val="24"/>
              <w:szCs w:val="24"/>
            </w:rPr>
            <w:fldChar w:fldCharType="begin"/>
          </w:r>
          <w:r>
            <w:rPr>
              <w:sz w:val="24"/>
              <w:szCs w:val="24"/>
            </w:rPr>
            <w:instrText xml:space="preserve"> PAGEREF _Toc92275545 \h </w:instrText>
          </w:r>
          <w:r>
            <w:rPr>
              <w:sz w:val="24"/>
              <w:szCs w:val="24"/>
            </w:rPr>
            <w:fldChar w:fldCharType="separate"/>
          </w:r>
          <w:r>
            <w:rPr>
              <w:sz w:val="24"/>
              <w:szCs w:val="24"/>
            </w:rPr>
            <w:t>6</w:t>
          </w:r>
          <w:r>
            <w:rPr>
              <w:sz w:val="24"/>
              <w:szCs w:val="24"/>
            </w:rPr>
            <w:fldChar w:fldCharType="end"/>
          </w:r>
          <w:r>
            <w:rPr>
              <w:sz w:val="24"/>
              <w:szCs w:val="24"/>
            </w:rPr>
            <w:fldChar w:fldCharType="end"/>
          </w:r>
        </w:p>
        <w:p w14:paraId="3EC5BE5E">
          <w:pPr>
            <w:pStyle w:val="9"/>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"_Toc92275546" </w:instrText>
          </w:r>
          <w:r>
            <w:fldChar w:fldCharType="separate"/>
          </w:r>
          <w:r>
            <w:rPr>
              <w:rStyle w:val="18"/>
              <w:rFonts w:ascii="仿宋" w:hAnsi="仿宋" w:eastAsia="仿宋"/>
              <w:color w:val="auto"/>
              <w:w w:val="110"/>
              <w:sz w:val="24"/>
              <w:szCs w:val="24"/>
            </w:rPr>
            <w:t>4. 学术</w:t>
          </w:r>
          <w:r>
            <w:rPr>
              <w:rStyle w:val="18"/>
              <w:rFonts w:eastAsia="仿宋_GB2312"/>
              <w:color w:val="auto"/>
              <w:sz w:val="24"/>
              <w:szCs w:val="24"/>
            </w:rPr>
            <w:t>训练</w:t>
          </w:r>
          <w:r>
            <w:rPr>
              <w:rStyle w:val="18"/>
              <w:rFonts w:ascii="仿宋" w:hAnsi="仿宋" w:eastAsia="仿宋"/>
              <w:color w:val="auto"/>
              <w:w w:val="110"/>
              <w:sz w:val="24"/>
              <w:szCs w:val="24"/>
            </w:rPr>
            <w:t>情况</w:t>
          </w:r>
          <w:r>
            <w:rPr>
              <w:sz w:val="24"/>
              <w:szCs w:val="24"/>
            </w:rPr>
            <w:tab/>
          </w:r>
          <w:r>
            <w:rPr>
              <w:sz w:val="24"/>
              <w:szCs w:val="24"/>
            </w:rPr>
            <w:fldChar w:fldCharType="begin"/>
          </w:r>
          <w:r>
            <w:rPr>
              <w:sz w:val="24"/>
              <w:szCs w:val="24"/>
            </w:rPr>
            <w:instrText xml:space="preserve"> PAGEREF _Toc92275546 \h </w:instrText>
          </w:r>
          <w:r>
            <w:rPr>
              <w:sz w:val="24"/>
              <w:szCs w:val="24"/>
            </w:rPr>
            <w:fldChar w:fldCharType="separate"/>
          </w:r>
          <w:r>
            <w:rPr>
              <w:sz w:val="24"/>
              <w:szCs w:val="24"/>
            </w:rPr>
            <w:t>6</w:t>
          </w:r>
          <w:r>
            <w:rPr>
              <w:sz w:val="24"/>
              <w:szCs w:val="24"/>
            </w:rPr>
            <w:fldChar w:fldCharType="end"/>
          </w:r>
          <w:r>
            <w:rPr>
              <w:sz w:val="24"/>
              <w:szCs w:val="24"/>
            </w:rPr>
            <w:fldChar w:fldCharType="end"/>
          </w:r>
        </w:p>
        <w:p w14:paraId="4324E880">
          <w:pPr>
            <w:pStyle w:val="9"/>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"_Toc92275547" </w:instrText>
          </w:r>
          <w:r>
            <w:fldChar w:fldCharType="separate"/>
          </w:r>
          <w:r>
            <w:rPr>
              <w:rStyle w:val="18"/>
              <w:rFonts w:ascii="仿宋" w:hAnsi="仿宋" w:eastAsia="仿宋"/>
              <w:color w:val="auto"/>
              <w:w w:val="110"/>
              <w:sz w:val="24"/>
              <w:szCs w:val="24"/>
            </w:rPr>
            <w:t>5. 学术</w:t>
          </w:r>
          <w:r>
            <w:rPr>
              <w:rStyle w:val="18"/>
              <w:rFonts w:eastAsia="仿宋_GB2312"/>
              <w:color w:val="auto"/>
              <w:sz w:val="24"/>
              <w:szCs w:val="24"/>
            </w:rPr>
            <w:t>交流</w:t>
          </w:r>
          <w:r>
            <w:rPr>
              <w:rStyle w:val="18"/>
              <w:rFonts w:ascii="仿宋" w:hAnsi="仿宋" w:eastAsia="仿宋"/>
              <w:color w:val="auto"/>
              <w:w w:val="110"/>
              <w:sz w:val="24"/>
              <w:szCs w:val="24"/>
            </w:rPr>
            <w:t>情况</w:t>
          </w:r>
          <w:r>
            <w:rPr>
              <w:sz w:val="24"/>
              <w:szCs w:val="24"/>
            </w:rPr>
            <w:tab/>
          </w:r>
          <w:r>
            <w:rPr>
              <w:sz w:val="24"/>
              <w:szCs w:val="24"/>
            </w:rPr>
            <w:fldChar w:fldCharType="begin"/>
          </w:r>
          <w:r>
            <w:rPr>
              <w:sz w:val="24"/>
              <w:szCs w:val="24"/>
            </w:rPr>
            <w:instrText xml:space="preserve"> PAGEREF _Toc92275547 \h </w:instrText>
          </w:r>
          <w:r>
            <w:rPr>
              <w:sz w:val="24"/>
              <w:szCs w:val="24"/>
            </w:rPr>
            <w:fldChar w:fldCharType="separate"/>
          </w:r>
          <w:r>
            <w:rPr>
              <w:sz w:val="24"/>
              <w:szCs w:val="24"/>
            </w:rPr>
            <w:t>7</w:t>
          </w:r>
          <w:r>
            <w:rPr>
              <w:sz w:val="24"/>
              <w:szCs w:val="24"/>
            </w:rPr>
            <w:fldChar w:fldCharType="end"/>
          </w:r>
          <w:r>
            <w:rPr>
              <w:sz w:val="24"/>
              <w:szCs w:val="24"/>
            </w:rPr>
            <w:fldChar w:fldCharType="end"/>
          </w:r>
        </w:p>
        <w:p w14:paraId="79F853DC">
          <w:pPr>
            <w:pStyle w:val="9"/>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"_Toc92275548" </w:instrText>
          </w:r>
          <w:r>
            <w:fldChar w:fldCharType="separate"/>
          </w:r>
          <w:r>
            <w:rPr>
              <w:rStyle w:val="18"/>
              <w:rFonts w:ascii="仿宋" w:hAnsi="仿宋" w:eastAsia="仿宋"/>
              <w:color w:val="auto"/>
              <w:w w:val="110"/>
              <w:sz w:val="24"/>
              <w:szCs w:val="24"/>
            </w:rPr>
            <w:t>6. 研究生奖助情况</w:t>
          </w:r>
          <w:r>
            <w:rPr>
              <w:sz w:val="24"/>
              <w:szCs w:val="24"/>
            </w:rPr>
            <w:tab/>
          </w:r>
          <w:r>
            <w:rPr>
              <w:sz w:val="24"/>
              <w:szCs w:val="24"/>
            </w:rPr>
            <w:fldChar w:fldCharType="begin"/>
          </w:r>
          <w:r>
            <w:rPr>
              <w:sz w:val="24"/>
              <w:szCs w:val="24"/>
            </w:rPr>
            <w:instrText xml:space="preserve"> PAGEREF _Toc92275548 \h </w:instrText>
          </w:r>
          <w:r>
            <w:rPr>
              <w:sz w:val="24"/>
              <w:szCs w:val="24"/>
            </w:rPr>
            <w:fldChar w:fldCharType="separate"/>
          </w:r>
          <w:r>
            <w:rPr>
              <w:sz w:val="24"/>
              <w:szCs w:val="24"/>
            </w:rPr>
            <w:t>9</w:t>
          </w:r>
          <w:r>
            <w:rPr>
              <w:sz w:val="24"/>
              <w:szCs w:val="24"/>
            </w:rPr>
            <w:fldChar w:fldCharType="end"/>
          </w:r>
          <w:r>
            <w:rPr>
              <w:sz w:val="24"/>
              <w:szCs w:val="24"/>
            </w:rPr>
            <w:fldChar w:fldCharType="end"/>
          </w:r>
        </w:p>
        <w:p w14:paraId="46B60533">
          <w:pPr>
            <w:pStyle w:val="13"/>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"_Toc92275549" </w:instrText>
          </w:r>
          <w:r>
            <w:fldChar w:fldCharType="separate"/>
          </w:r>
          <w:r>
            <w:rPr>
              <w:rStyle w:val="18"/>
              <w:rFonts w:ascii="黑体" w:hAnsi="黑体" w:eastAsia="黑体"/>
              <w:color w:val="auto"/>
              <w:sz w:val="24"/>
              <w:szCs w:val="24"/>
            </w:rPr>
            <w:t>四、研究生教育改革情况</w:t>
          </w:r>
          <w:r>
            <w:rPr>
              <w:sz w:val="24"/>
              <w:szCs w:val="24"/>
            </w:rPr>
            <w:tab/>
          </w:r>
          <w:r>
            <w:rPr>
              <w:sz w:val="24"/>
              <w:szCs w:val="24"/>
            </w:rPr>
            <w:fldChar w:fldCharType="begin"/>
          </w:r>
          <w:r>
            <w:rPr>
              <w:sz w:val="24"/>
              <w:szCs w:val="24"/>
            </w:rPr>
            <w:instrText xml:space="preserve"> PAGEREF _Toc92275549 \h </w:instrText>
          </w:r>
          <w:r>
            <w:rPr>
              <w:sz w:val="24"/>
              <w:szCs w:val="24"/>
            </w:rPr>
            <w:fldChar w:fldCharType="separate"/>
          </w:r>
          <w:r>
            <w:rPr>
              <w:sz w:val="24"/>
              <w:szCs w:val="24"/>
            </w:rPr>
            <w:t>9</w:t>
          </w:r>
          <w:r>
            <w:rPr>
              <w:sz w:val="24"/>
              <w:szCs w:val="24"/>
            </w:rPr>
            <w:fldChar w:fldCharType="end"/>
          </w:r>
          <w:r>
            <w:rPr>
              <w:sz w:val="24"/>
              <w:szCs w:val="24"/>
            </w:rPr>
            <w:fldChar w:fldCharType="end"/>
          </w:r>
        </w:p>
        <w:p w14:paraId="4FF24D1E">
          <w:pPr>
            <w:pStyle w:val="9"/>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"_Toc92275550" </w:instrText>
          </w:r>
          <w:r>
            <w:fldChar w:fldCharType="separate"/>
          </w:r>
          <w:r>
            <w:rPr>
              <w:rStyle w:val="18"/>
              <w:rFonts w:ascii="仿宋" w:hAnsi="仿宋" w:eastAsia="仿宋"/>
              <w:color w:val="auto"/>
              <w:w w:val="110"/>
              <w:sz w:val="24"/>
              <w:szCs w:val="24"/>
            </w:rPr>
            <w:t>1. 人才培养情况</w:t>
          </w:r>
          <w:r>
            <w:rPr>
              <w:sz w:val="24"/>
              <w:szCs w:val="24"/>
            </w:rPr>
            <w:tab/>
          </w:r>
          <w:r>
            <w:rPr>
              <w:sz w:val="24"/>
              <w:szCs w:val="24"/>
            </w:rPr>
            <w:fldChar w:fldCharType="begin"/>
          </w:r>
          <w:r>
            <w:rPr>
              <w:sz w:val="24"/>
              <w:szCs w:val="24"/>
            </w:rPr>
            <w:instrText xml:space="preserve"> PAGEREF _Toc92275550 \h </w:instrText>
          </w:r>
          <w:r>
            <w:rPr>
              <w:sz w:val="24"/>
              <w:szCs w:val="24"/>
            </w:rPr>
            <w:fldChar w:fldCharType="separate"/>
          </w:r>
          <w:r>
            <w:rPr>
              <w:sz w:val="24"/>
              <w:szCs w:val="24"/>
            </w:rPr>
            <w:t>9</w:t>
          </w:r>
          <w:r>
            <w:rPr>
              <w:sz w:val="24"/>
              <w:szCs w:val="24"/>
            </w:rPr>
            <w:fldChar w:fldCharType="end"/>
          </w:r>
          <w:r>
            <w:rPr>
              <w:sz w:val="24"/>
              <w:szCs w:val="24"/>
            </w:rPr>
            <w:fldChar w:fldCharType="end"/>
          </w:r>
        </w:p>
        <w:p w14:paraId="1D855EB4">
          <w:pPr>
            <w:pStyle w:val="9"/>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"_Toc92275551" </w:instrText>
          </w:r>
          <w:r>
            <w:fldChar w:fldCharType="separate"/>
          </w:r>
          <w:r>
            <w:rPr>
              <w:rStyle w:val="18"/>
              <w:rFonts w:ascii="仿宋" w:hAnsi="仿宋" w:eastAsia="仿宋"/>
              <w:color w:val="auto"/>
              <w:w w:val="110"/>
              <w:sz w:val="24"/>
              <w:szCs w:val="24"/>
            </w:rPr>
            <w:t>2. 教师队伍</w:t>
          </w:r>
          <w:r>
            <w:rPr>
              <w:rStyle w:val="18"/>
              <w:rFonts w:eastAsia="仿宋_GB2312"/>
              <w:color w:val="auto"/>
              <w:sz w:val="24"/>
              <w:szCs w:val="24"/>
            </w:rPr>
            <w:t>建设</w:t>
          </w:r>
          <w:r>
            <w:rPr>
              <w:rStyle w:val="18"/>
              <w:rFonts w:ascii="仿宋" w:hAnsi="仿宋" w:eastAsia="仿宋"/>
              <w:color w:val="auto"/>
              <w:w w:val="110"/>
              <w:sz w:val="24"/>
              <w:szCs w:val="24"/>
            </w:rPr>
            <w:t>情况</w:t>
          </w:r>
          <w:r>
            <w:rPr>
              <w:sz w:val="24"/>
              <w:szCs w:val="24"/>
            </w:rPr>
            <w:tab/>
          </w:r>
          <w:r>
            <w:rPr>
              <w:sz w:val="24"/>
              <w:szCs w:val="24"/>
            </w:rPr>
            <w:fldChar w:fldCharType="begin"/>
          </w:r>
          <w:r>
            <w:rPr>
              <w:sz w:val="24"/>
              <w:szCs w:val="24"/>
            </w:rPr>
            <w:instrText xml:space="preserve"> PAGEREF _Toc92275551 \h </w:instrText>
          </w:r>
          <w:r>
            <w:rPr>
              <w:sz w:val="24"/>
              <w:szCs w:val="24"/>
            </w:rPr>
            <w:fldChar w:fldCharType="separate"/>
          </w:r>
          <w:r>
            <w:rPr>
              <w:sz w:val="24"/>
              <w:szCs w:val="24"/>
            </w:rPr>
            <w:t>10</w:t>
          </w:r>
          <w:r>
            <w:rPr>
              <w:sz w:val="24"/>
              <w:szCs w:val="24"/>
            </w:rPr>
            <w:fldChar w:fldCharType="end"/>
          </w:r>
          <w:r>
            <w:rPr>
              <w:sz w:val="24"/>
              <w:szCs w:val="24"/>
            </w:rPr>
            <w:fldChar w:fldCharType="end"/>
          </w:r>
        </w:p>
        <w:p w14:paraId="208EDAF6">
          <w:pPr>
            <w:pStyle w:val="9"/>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"_Toc92275552" </w:instrText>
          </w:r>
          <w:r>
            <w:fldChar w:fldCharType="separate"/>
          </w:r>
          <w:r>
            <w:rPr>
              <w:rStyle w:val="18"/>
              <w:rFonts w:ascii="仿宋" w:hAnsi="仿宋" w:eastAsia="仿宋"/>
              <w:color w:val="auto"/>
              <w:w w:val="110"/>
              <w:sz w:val="24"/>
              <w:szCs w:val="24"/>
            </w:rPr>
            <w:t>3. 科学研究</w:t>
          </w:r>
          <w:r>
            <w:rPr>
              <w:rStyle w:val="18"/>
              <w:rFonts w:eastAsia="仿宋_GB2312"/>
              <w:color w:val="auto"/>
              <w:sz w:val="24"/>
              <w:szCs w:val="24"/>
            </w:rPr>
            <w:t>情况</w:t>
          </w:r>
          <w:r>
            <w:rPr>
              <w:sz w:val="24"/>
              <w:szCs w:val="24"/>
            </w:rPr>
            <w:tab/>
          </w:r>
          <w:r>
            <w:rPr>
              <w:sz w:val="24"/>
              <w:szCs w:val="24"/>
            </w:rPr>
            <w:fldChar w:fldCharType="begin"/>
          </w:r>
          <w:r>
            <w:rPr>
              <w:sz w:val="24"/>
              <w:szCs w:val="24"/>
            </w:rPr>
            <w:instrText xml:space="preserve"> PAGEREF _Toc92275552 \h </w:instrText>
          </w:r>
          <w:r>
            <w:rPr>
              <w:sz w:val="24"/>
              <w:szCs w:val="24"/>
            </w:rPr>
            <w:fldChar w:fldCharType="separate"/>
          </w:r>
          <w:r>
            <w:rPr>
              <w:sz w:val="24"/>
              <w:szCs w:val="24"/>
            </w:rPr>
            <w:t>10</w:t>
          </w:r>
          <w:r>
            <w:rPr>
              <w:sz w:val="24"/>
              <w:szCs w:val="24"/>
            </w:rPr>
            <w:fldChar w:fldCharType="end"/>
          </w:r>
          <w:r>
            <w:rPr>
              <w:sz w:val="24"/>
              <w:szCs w:val="24"/>
            </w:rPr>
            <w:fldChar w:fldCharType="end"/>
          </w:r>
        </w:p>
        <w:p w14:paraId="2372D25B">
          <w:pPr>
            <w:pStyle w:val="9"/>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"_Toc92275553" </w:instrText>
          </w:r>
          <w:r>
            <w:fldChar w:fldCharType="separate"/>
          </w:r>
          <w:r>
            <w:rPr>
              <w:rStyle w:val="18"/>
              <w:rFonts w:ascii="仿宋" w:hAnsi="仿宋" w:eastAsia="仿宋"/>
              <w:color w:val="auto"/>
              <w:w w:val="110"/>
              <w:sz w:val="24"/>
              <w:szCs w:val="24"/>
            </w:rPr>
            <w:t>4. 传承创新优秀学科文化情况</w:t>
          </w:r>
          <w:r>
            <w:rPr>
              <w:sz w:val="24"/>
              <w:szCs w:val="24"/>
            </w:rPr>
            <w:tab/>
          </w:r>
          <w:r>
            <w:rPr>
              <w:sz w:val="24"/>
              <w:szCs w:val="24"/>
            </w:rPr>
            <w:fldChar w:fldCharType="begin"/>
          </w:r>
          <w:r>
            <w:rPr>
              <w:sz w:val="24"/>
              <w:szCs w:val="24"/>
            </w:rPr>
            <w:instrText xml:space="preserve"> PAGEREF _Toc92275553 \h </w:instrText>
          </w:r>
          <w:r>
            <w:rPr>
              <w:sz w:val="24"/>
              <w:szCs w:val="24"/>
            </w:rPr>
            <w:fldChar w:fldCharType="separate"/>
          </w:r>
          <w:r>
            <w:rPr>
              <w:sz w:val="24"/>
              <w:szCs w:val="24"/>
            </w:rPr>
            <w:t>10</w:t>
          </w:r>
          <w:r>
            <w:rPr>
              <w:sz w:val="24"/>
              <w:szCs w:val="24"/>
            </w:rPr>
            <w:fldChar w:fldCharType="end"/>
          </w:r>
          <w:r>
            <w:rPr>
              <w:sz w:val="24"/>
              <w:szCs w:val="24"/>
            </w:rPr>
            <w:fldChar w:fldCharType="end"/>
          </w:r>
        </w:p>
        <w:p w14:paraId="06FCAF60">
          <w:pPr>
            <w:pStyle w:val="9"/>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"_Toc92275554" </w:instrText>
          </w:r>
          <w:r>
            <w:fldChar w:fldCharType="separate"/>
          </w:r>
          <w:r>
            <w:rPr>
              <w:rStyle w:val="18"/>
              <w:rFonts w:ascii="仿宋" w:hAnsi="仿宋" w:eastAsia="仿宋"/>
              <w:color w:val="auto"/>
              <w:w w:val="110"/>
              <w:sz w:val="24"/>
              <w:szCs w:val="24"/>
            </w:rPr>
            <w:t>5.国际交流合作等的改革创新情况</w:t>
          </w:r>
          <w:r>
            <w:rPr>
              <w:sz w:val="24"/>
              <w:szCs w:val="24"/>
            </w:rPr>
            <w:tab/>
          </w:r>
          <w:r>
            <w:rPr>
              <w:sz w:val="24"/>
              <w:szCs w:val="24"/>
            </w:rPr>
            <w:fldChar w:fldCharType="begin"/>
          </w:r>
          <w:r>
            <w:rPr>
              <w:sz w:val="24"/>
              <w:szCs w:val="24"/>
            </w:rPr>
            <w:instrText xml:space="preserve"> PAGEREF _Toc92275554 \h </w:instrText>
          </w:r>
          <w:r>
            <w:rPr>
              <w:sz w:val="24"/>
              <w:szCs w:val="24"/>
            </w:rPr>
            <w:fldChar w:fldCharType="separate"/>
          </w:r>
          <w:r>
            <w:rPr>
              <w:sz w:val="24"/>
              <w:szCs w:val="24"/>
            </w:rPr>
            <w:t>12</w:t>
          </w:r>
          <w:r>
            <w:rPr>
              <w:sz w:val="24"/>
              <w:szCs w:val="24"/>
            </w:rPr>
            <w:fldChar w:fldCharType="end"/>
          </w:r>
          <w:r>
            <w:rPr>
              <w:sz w:val="24"/>
              <w:szCs w:val="24"/>
            </w:rPr>
            <w:fldChar w:fldCharType="end"/>
          </w:r>
        </w:p>
        <w:p w14:paraId="26E09FD6">
          <w:pPr>
            <w:pStyle w:val="13"/>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"_Toc92275555" </w:instrText>
          </w:r>
          <w:r>
            <w:fldChar w:fldCharType="separate"/>
          </w:r>
          <w:r>
            <w:rPr>
              <w:rStyle w:val="18"/>
              <w:rFonts w:ascii="黑体" w:hAnsi="黑体" w:eastAsia="黑体"/>
              <w:color w:val="auto"/>
              <w:sz w:val="24"/>
              <w:szCs w:val="24"/>
            </w:rPr>
            <w:t>五、教育质量评估与分析</w:t>
          </w:r>
          <w:r>
            <w:rPr>
              <w:sz w:val="24"/>
              <w:szCs w:val="24"/>
            </w:rPr>
            <w:tab/>
          </w:r>
          <w:r>
            <w:rPr>
              <w:sz w:val="24"/>
              <w:szCs w:val="24"/>
            </w:rPr>
            <w:fldChar w:fldCharType="begin"/>
          </w:r>
          <w:r>
            <w:rPr>
              <w:sz w:val="24"/>
              <w:szCs w:val="24"/>
            </w:rPr>
            <w:instrText xml:space="preserve"> PAGEREF _Toc92275555 \h </w:instrText>
          </w:r>
          <w:r>
            <w:rPr>
              <w:sz w:val="24"/>
              <w:szCs w:val="24"/>
            </w:rPr>
            <w:fldChar w:fldCharType="separate"/>
          </w:r>
          <w:r>
            <w:rPr>
              <w:sz w:val="24"/>
              <w:szCs w:val="24"/>
            </w:rPr>
            <w:t>12</w:t>
          </w:r>
          <w:r>
            <w:rPr>
              <w:sz w:val="24"/>
              <w:szCs w:val="24"/>
            </w:rPr>
            <w:fldChar w:fldCharType="end"/>
          </w:r>
          <w:r>
            <w:rPr>
              <w:sz w:val="24"/>
              <w:szCs w:val="24"/>
            </w:rPr>
            <w:fldChar w:fldCharType="end"/>
          </w:r>
        </w:p>
        <w:p w14:paraId="1260A3CB">
          <w:pPr>
            <w:pStyle w:val="9"/>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"_Toc92275556" </w:instrText>
          </w:r>
          <w:r>
            <w:fldChar w:fldCharType="separate"/>
          </w:r>
          <w:r>
            <w:rPr>
              <w:rStyle w:val="18"/>
              <w:rFonts w:ascii="仿宋" w:hAnsi="仿宋" w:eastAsia="仿宋"/>
              <w:color w:val="auto"/>
              <w:w w:val="110"/>
              <w:sz w:val="24"/>
              <w:szCs w:val="24"/>
            </w:rPr>
            <w:t>1.学位授权点自我评估进展及问题分析</w:t>
          </w:r>
          <w:r>
            <w:rPr>
              <w:sz w:val="24"/>
              <w:szCs w:val="24"/>
            </w:rPr>
            <w:tab/>
          </w:r>
          <w:r>
            <w:rPr>
              <w:sz w:val="24"/>
              <w:szCs w:val="24"/>
            </w:rPr>
            <w:fldChar w:fldCharType="begin"/>
          </w:r>
          <w:r>
            <w:rPr>
              <w:sz w:val="24"/>
              <w:szCs w:val="24"/>
            </w:rPr>
            <w:instrText xml:space="preserve"> PAGEREF _Toc92275556 \h </w:instrText>
          </w:r>
          <w:r>
            <w:rPr>
              <w:sz w:val="24"/>
              <w:szCs w:val="24"/>
            </w:rPr>
            <w:fldChar w:fldCharType="separate"/>
          </w:r>
          <w:r>
            <w:rPr>
              <w:sz w:val="24"/>
              <w:szCs w:val="24"/>
            </w:rPr>
            <w:t>12</w:t>
          </w:r>
          <w:r>
            <w:rPr>
              <w:sz w:val="24"/>
              <w:szCs w:val="24"/>
            </w:rPr>
            <w:fldChar w:fldCharType="end"/>
          </w:r>
          <w:r>
            <w:rPr>
              <w:sz w:val="24"/>
              <w:szCs w:val="24"/>
            </w:rPr>
            <w:fldChar w:fldCharType="end"/>
          </w:r>
        </w:p>
        <w:p w14:paraId="20786E6D">
          <w:pPr>
            <w:pStyle w:val="9"/>
            <w:tabs>
              <w:tab w:val="right" w:leader="dot" w:pos="8296"/>
            </w:tabs>
            <w:spacing w:line="276" w:lineRule="auto"/>
            <w:rPr>
              <w:rFonts w:asciiTheme="minorHAnsi" w:hAnsiTheme="minorHAnsi" w:eastAsiaTheme="minorEastAsia" w:cstheme="minorBidi"/>
              <w:sz w:val="24"/>
              <w:szCs w:val="24"/>
            </w:rPr>
          </w:pPr>
          <w:r>
            <w:fldChar w:fldCharType="begin"/>
          </w:r>
          <w:r>
            <w:instrText xml:space="preserve"> HYPERLINK \l "_Toc92275557" </w:instrText>
          </w:r>
          <w:r>
            <w:fldChar w:fldCharType="separate"/>
          </w:r>
          <w:r>
            <w:rPr>
              <w:rStyle w:val="18"/>
              <w:rFonts w:ascii="仿宋" w:hAnsi="仿宋" w:eastAsia="仿宋"/>
              <w:color w:val="auto"/>
              <w:w w:val="110"/>
              <w:sz w:val="24"/>
              <w:szCs w:val="24"/>
            </w:rPr>
            <w:t>2.学位论文抽检情况及问题分析</w:t>
          </w:r>
          <w:r>
            <w:rPr>
              <w:sz w:val="24"/>
              <w:szCs w:val="24"/>
            </w:rPr>
            <w:tab/>
          </w:r>
          <w:r>
            <w:rPr>
              <w:sz w:val="24"/>
              <w:szCs w:val="24"/>
            </w:rPr>
            <w:fldChar w:fldCharType="begin"/>
          </w:r>
          <w:r>
            <w:rPr>
              <w:sz w:val="24"/>
              <w:szCs w:val="24"/>
            </w:rPr>
            <w:instrText xml:space="preserve"> PAGEREF _Toc92275557 \h </w:instrText>
          </w:r>
          <w:r>
            <w:rPr>
              <w:sz w:val="24"/>
              <w:szCs w:val="24"/>
            </w:rPr>
            <w:fldChar w:fldCharType="separate"/>
          </w:r>
          <w:r>
            <w:rPr>
              <w:sz w:val="24"/>
              <w:szCs w:val="24"/>
            </w:rPr>
            <w:t>13</w:t>
          </w:r>
          <w:r>
            <w:rPr>
              <w:sz w:val="24"/>
              <w:szCs w:val="24"/>
            </w:rPr>
            <w:fldChar w:fldCharType="end"/>
          </w:r>
          <w:r>
            <w:rPr>
              <w:sz w:val="24"/>
              <w:szCs w:val="24"/>
            </w:rPr>
            <w:fldChar w:fldCharType="end"/>
          </w:r>
        </w:p>
        <w:p w14:paraId="4731109B">
          <w:pPr>
            <w:pStyle w:val="13"/>
            <w:tabs>
              <w:tab w:val="right" w:leader="dot" w:pos="8296"/>
            </w:tabs>
            <w:spacing w:line="276" w:lineRule="auto"/>
            <w:rPr>
              <w:rFonts w:asciiTheme="minorHAnsi" w:hAnsiTheme="minorHAnsi" w:eastAsiaTheme="minorEastAsia" w:cstheme="minorBidi"/>
              <w:sz w:val="24"/>
              <w:szCs w:val="28"/>
            </w:rPr>
          </w:pPr>
          <w:r>
            <w:fldChar w:fldCharType="begin"/>
          </w:r>
          <w:r>
            <w:instrText xml:space="preserve"> HYPERLINK \l "_Toc92275558" </w:instrText>
          </w:r>
          <w:r>
            <w:fldChar w:fldCharType="separate"/>
          </w:r>
          <w:r>
            <w:rPr>
              <w:rStyle w:val="18"/>
              <w:rFonts w:ascii="黑体" w:hAnsi="黑体" w:eastAsia="黑体"/>
              <w:color w:val="auto"/>
              <w:sz w:val="24"/>
              <w:szCs w:val="24"/>
            </w:rPr>
            <w:t>六、改进措施</w:t>
          </w:r>
          <w:r>
            <w:rPr>
              <w:sz w:val="24"/>
              <w:szCs w:val="24"/>
            </w:rPr>
            <w:tab/>
          </w:r>
          <w:r>
            <w:rPr>
              <w:sz w:val="24"/>
              <w:szCs w:val="24"/>
            </w:rPr>
            <w:fldChar w:fldCharType="begin"/>
          </w:r>
          <w:r>
            <w:rPr>
              <w:sz w:val="24"/>
              <w:szCs w:val="24"/>
            </w:rPr>
            <w:instrText xml:space="preserve"> PAGEREF _Toc92275558 \h </w:instrText>
          </w:r>
          <w:r>
            <w:rPr>
              <w:sz w:val="24"/>
              <w:szCs w:val="24"/>
            </w:rPr>
            <w:fldChar w:fldCharType="separate"/>
          </w:r>
          <w:r>
            <w:rPr>
              <w:sz w:val="24"/>
              <w:szCs w:val="24"/>
            </w:rPr>
            <w:t>14</w:t>
          </w:r>
          <w:r>
            <w:rPr>
              <w:sz w:val="24"/>
              <w:szCs w:val="24"/>
            </w:rPr>
            <w:fldChar w:fldCharType="end"/>
          </w:r>
          <w:r>
            <w:rPr>
              <w:sz w:val="24"/>
              <w:szCs w:val="24"/>
            </w:rPr>
            <w:fldChar w:fldCharType="end"/>
          </w:r>
        </w:p>
        <w:p w14:paraId="4056EF50">
          <w:r>
            <w:rPr>
              <w:b/>
              <w:bCs/>
              <w:lang w:val="zh-CN"/>
            </w:rPr>
            <w:fldChar w:fldCharType="end"/>
          </w:r>
        </w:p>
      </w:sdtContent>
    </w:sdt>
    <w:p w14:paraId="1003D967">
      <w:pPr>
        <w:pStyle w:val="5"/>
        <w:snapToGrid w:val="0"/>
        <w:spacing w:before="0" w:after="0" w:line="360" w:lineRule="auto"/>
        <w:rPr>
          <w:rFonts w:hint="eastAsia" w:ascii="黑体" w:hAnsi="黑体" w:eastAsia="黑体"/>
          <w:b w:val="0"/>
          <w:bCs w:val="0"/>
        </w:rPr>
        <w:sectPr>
          <w:pgSz w:w="11906" w:h="16838"/>
          <w:pgMar w:top="1440" w:right="1800" w:bottom="1440" w:left="1800" w:header="851" w:footer="992" w:gutter="0"/>
          <w:cols w:space="425" w:num="1"/>
          <w:docGrid w:type="lines" w:linePitch="312" w:charSpace="0"/>
        </w:sectPr>
      </w:pPr>
      <w:bookmarkStart w:id="0" w:name="_Toc92275532"/>
    </w:p>
    <w:p w14:paraId="25D35E6C">
      <w:pPr>
        <w:pStyle w:val="5"/>
        <w:snapToGrid w:val="0"/>
        <w:spacing w:before="0" w:after="0" w:line="360" w:lineRule="auto"/>
        <w:rPr>
          <w:rFonts w:ascii="黑体" w:hAnsi="黑体" w:eastAsia="黑体"/>
          <w:b w:val="0"/>
          <w:bCs w:val="0"/>
        </w:rPr>
      </w:pPr>
      <w:r>
        <w:rPr>
          <w:rFonts w:hint="eastAsia" w:ascii="黑体" w:hAnsi="黑体" w:eastAsia="黑体"/>
          <w:b w:val="0"/>
          <w:bCs w:val="0"/>
        </w:rPr>
        <w:t>一、总体概况</w:t>
      </w:r>
      <w:bookmarkEnd w:id="0"/>
    </w:p>
    <w:p w14:paraId="38DA0E8E">
      <w:pPr>
        <w:pStyle w:val="6"/>
        <w:snapToGrid w:val="0"/>
        <w:spacing w:before="0" w:after="0" w:line="360" w:lineRule="auto"/>
        <w:ind w:firstLine="662" w:firstLineChars="200"/>
        <w:rPr>
          <w:rFonts w:ascii="仿宋" w:hAnsi="仿宋" w:eastAsia="仿宋"/>
          <w:w w:val="110"/>
          <w:sz w:val="30"/>
          <w:szCs w:val="30"/>
        </w:rPr>
      </w:pPr>
      <w:bookmarkStart w:id="1" w:name="_Toc92275533"/>
      <w:r>
        <w:rPr>
          <w:rFonts w:hint="eastAsia" w:ascii="仿宋" w:hAnsi="仿宋" w:eastAsia="仿宋"/>
          <w:w w:val="110"/>
          <w:sz w:val="30"/>
          <w:szCs w:val="30"/>
        </w:rPr>
        <w:t>1.学位授权点基本情况</w:t>
      </w:r>
      <w:bookmarkEnd w:id="1"/>
    </w:p>
    <w:p w14:paraId="18B2053F">
      <w:pPr>
        <w:snapToGrid w:val="0"/>
        <w:spacing w:line="360" w:lineRule="auto"/>
        <w:ind w:firstLine="560" w:firstLineChars="200"/>
        <w:rPr>
          <w:rFonts w:eastAsia="仿宋" w:cs="仿宋"/>
          <w:sz w:val="28"/>
          <w:szCs w:val="28"/>
        </w:rPr>
      </w:pPr>
      <w:r>
        <w:rPr>
          <w:rFonts w:hint="eastAsia" w:eastAsia="仿宋" w:cs="仿宋"/>
          <w:sz w:val="28"/>
          <w:szCs w:val="28"/>
        </w:rPr>
        <w:t>本学位点立足于服务西部地区、民族地区经济社会发展，2006 年获批企业管理二级学科硕士点，2010年获批工商管理一级学科硕士点，2018年获批会计硕士专业学位（MPAcc）硕士点，2024年获批工商管理硕士专业学位（MBA）硕士点，目前已建成企业管理、旅游管理、会计学和技术经济及管理四个学科方向，是武陵山片区学科实力最强、影响最大的工商管理学科。学位点依托的工商管理专业和旅游管理专业均为国家级一流本科专业建设点，会计学专业为湖南省一流本科专业建设点，在服务乡村振兴、创新创业、旅游管理、中小企业成长等领域特色鲜明，为西部地区、民族地区经济社会发展培养了一批能够从基层做起、独挡一面的“下得去、留得住、用得上、发展好”的工商管理高级专门人才。</w:t>
      </w:r>
    </w:p>
    <w:p w14:paraId="008006FA">
      <w:pPr>
        <w:pStyle w:val="6"/>
        <w:snapToGrid w:val="0"/>
        <w:spacing w:before="0" w:after="0" w:line="360" w:lineRule="auto"/>
        <w:ind w:firstLine="662" w:firstLineChars="200"/>
        <w:rPr>
          <w:rFonts w:ascii="仿宋" w:hAnsi="仿宋" w:eastAsia="仿宋"/>
          <w:w w:val="110"/>
          <w:sz w:val="30"/>
          <w:szCs w:val="30"/>
        </w:rPr>
      </w:pPr>
      <w:bookmarkStart w:id="2" w:name="_Toc92275534"/>
      <w:r>
        <w:rPr>
          <w:rFonts w:hint="eastAsia" w:ascii="仿宋" w:hAnsi="仿宋" w:eastAsia="仿宋"/>
          <w:w w:val="110"/>
          <w:sz w:val="30"/>
          <w:szCs w:val="30"/>
        </w:rPr>
        <w:t>2.学位授权点建设情况</w:t>
      </w:r>
      <w:bookmarkEnd w:id="2"/>
    </w:p>
    <w:p w14:paraId="4A984411">
      <w:pPr>
        <w:pStyle w:val="8"/>
        <w:tabs>
          <w:tab w:val="left" w:pos="8280"/>
        </w:tabs>
        <w:snapToGrid w:val="0"/>
        <w:spacing w:after="0" w:line="360" w:lineRule="auto"/>
        <w:ind w:right="26" w:firstLine="588" w:firstLineChars="200"/>
        <w:rPr>
          <w:rFonts w:eastAsia="仿宋"/>
          <w:spacing w:val="-7"/>
          <w:w w:val="110"/>
          <w:sz w:val="28"/>
          <w:szCs w:val="28"/>
        </w:rPr>
      </w:pPr>
      <w:bookmarkStart w:id="3" w:name="_Hlk92204189"/>
      <w:bookmarkStart w:id="4" w:name="_Hlk92128517"/>
      <w:r>
        <w:rPr>
          <w:rFonts w:hint="eastAsia" w:eastAsia="仿宋"/>
          <w:spacing w:val="-7"/>
          <w:w w:val="110"/>
          <w:sz w:val="28"/>
          <w:szCs w:val="28"/>
        </w:rPr>
        <w:t>本年度学位点加强了数字经济相关课程的改革与建设，并根据学院发展的实际，聘请专家进行多轮的研讨论证，修订了学位点学位授予条件。同时对人才培养环节及部分管理制度进行了优化与完善，更好地保障了人才培养质量。</w:t>
      </w:r>
    </w:p>
    <w:p w14:paraId="4E781033">
      <w:pPr>
        <w:snapToGrid w:val="0"/>
        <w:spacing w:line="360" w:lineRule="auto"/>
        <w:ind w:firstLine="560" w:firstLineChars="200"/>
        <w:rPr>
          <w:rFonts w:eastAsia="仿宋" w:cs="仿宋"/>
          <w:sz w:val="28"/>
          <w:szCs w:val="28"/>
        </w:rPr>
      </w:pPr>
      <w:r>
        <w:rPr>
          <w:rFonts w:hint="eastAsia" w:eastAsia="仿宋" w:cs="仿宋"/>
          <w:sz w:val="28"/>
          <w:szCs w:val="28"/>
          <w:lang w:val="en-US" w:eastAsia="zh-CN"/>
        </w:rPr>
        <w:t>本年度</w:t>
      </w:r>
      <w:r>
        <w:rPr>
          <w:rFonts w:hint="eastAsia" w:eastAsia="仿宋" w:cs="仿宋"/>
          <w:sz w:val="28"/>
          <w:szCs w:val="28"/>
        </w:rPr>
        <w:t>学位点</w:t>
      </w:r>
      <w:r>
        <w:rPr>
          <w:rFonts w:hint="eastAsia" w:eastAsia="仿宋" w:cs="仿宋"/>
          <w:sz w:val="28"/>
          <w:szCs w:val="28"/>
          <w:lang w:val="en-US" w:eastAsia="zh-CN"/>
        </w:rPr>
        <w:t>教师获批1项国家自科基金项目、11项省部级科研项目，还承担了总金额200余万元的横向课题，</w:t>
      </w:r>
      <w:r>
        <w:rPr>
          <w:rFonts w:hint="eastAsia" w:eastAsia="仿宋" w:cs="仿宋"/>
          <w:sz w:val="28"/>
          <w:szCs w:val="28"/>
        </w:rPr>
        <w:t>企业管理、旅游管理</w:t>
      </w:r>
      <w:r>
        <w:rPr>
          <w:rFonts w:hint="eastAsia" w:eastAsia="仿宋" w:cs="仿宋"/>
          <w:sz w:val="28"/>
          <w:szCs w:val="28"/>
          <w:lang w:eastAsia="zh-CN"/>
        </w:rPr>
        <w:t>、</w:t>
      </w:r>
      <w:r>
        <w:rPr>
          <w:rFonts w:hint="eastAsia" w:eastAsia="仿宋" w:cs="仿宋"/>
          <w:sz w:val="28"/>
          <w:szCs w:val="28"/>
        </w:rPr>
        <w:t>会计学与技术经济及管理</w:t>
      </w:r>
      <w:r>
        <w:rPr>
          <w:rFonts w:hint="eastAsia" w:eastAsia="仿宋" w:cs="仿宋"/>
          <w:sz w:val="28"/>
          <w:szCs w:val="28"/>
          <w:lang w:val="en-US" w:eastAsia="zh-CN"/>
        </w:rPr>
        <w:t>等</w:t>
      </w:r>
      <w:r>
        <w:rPr>
          <w:rFonts w:hint="eastAsia" w:eastAsia="仿宋" w:cs="仿宋"/>
          <w:sz w:val="28"/>
          <w:szCs w:val="28"/>
        </w:rPr>
        <w:t>四个研究方向进一步凝炼明确。</w:t>
      </w:r>
    </w:p>
    <w:p w14:paraId="6F125987">
      <w:pPr>
        <w:snapToGrid w:val="0"/>
        <w:spacing w:line="360" w:lineRule="auto"/>
        <w:ind w:firstLine="560" w:firstLineChars="200"/>
        <w:rPr>
          <w:rFonts w:eastAsia="仿宋" w:cs="仿宋"/>
          <w:sz w:val="28"/>
          <w:szCs w:val="28"/>
        </w:rPr>
      </w:pPr>
      <w:r>
        <w:rPr>
          <w:rFonts w:hint="eastAsia" w:eastAsia="仿宋" w:cs="仿宋"/>
          <w:sz w:val="28"/>
          <w:szCs w:val="28"/>
        </w:rPr>
        <w:t>在学位点管理与建设上，学院召开了四次研究生培养工作专题会，充实了研究生培养管理工作队伍，进一步明确了研究生管理人员责任分工，并对学院研究生培养管理工作提出了规范要求。年度内与湘西自治州工业和信息化局达成了战略合作，与吉首市商务局就电子商务公共服务体系建设、物流站点服务体系建设、电子商务企业培训体系建设、合作指导学生创新创业大赛等项目达成了合作；共组织了十余支案例调研团队深入湘西自治州各县市开展案例调研；还邀请了谭劲松、赵蓓、赵伟、侯波等国内外知名专家和陈登坤等企业家以及刘胜等优秀校友来共商学院学科建设和科研工作。</w:t>
      </w:r>
    </w:p>
    <w:p w14:paraId="2E018A8D">
      <w:pPr>
        <w:snapToGrid w:val="0"/>
        <w:spacing w:line="360" w:lineRule="auto"/>
        <w:ind w:firstLine="560" w:firstLineChars="200"/>
        <w:rPr>
          <w:rFonts w:eastAsia="仿宋" w:cs="仿宋"/>
          <w:sz w:val="28"/>
          <w:szCs w:val="28"/>
        </w:rPr>
      </w:pPr>
      <w:r>
        <w:rPr>
          <w:rFonts w:hint="eastAsia" w:eastAsia="仿宋" w:cs="仿宋"/>
          <w:sz w:val="28"/>
          <w:szCs w:val="28"/>
        </w:rPr>
        <w:t>本年度，学位点积极到省内外高校考察和交流合作，</w:t>
      </w:r>
      <w:bookmarkEnd w:id="3"/>
      <w:r>
        <w:rPr>
          <w:rFonts w:hint="eastAsia" w:eastAsia="仿宋" w:cs="仿宋"/>
          <w:sz w:val="28"/>
          <w:szCs w:val="28"/>
        </w:rPr>
        <w:t>提升人才培养质量。学位点积极与中南大学商学院、湖南师范大学商学院、湖南工业大学经济管理学院、湖南农业大学商学院等进行人才培养与学科建设学习交流。202</w:t>
      </w:r>
      <w:r>
        <w:rPr>
          <w:rFonts w:eastAsia="仿宋" w:cs="仿宋"/>
          <w:sz w:val="28"/>
          <w:szCs w:val="28"/>
        </w:rPr>
        <w:t>4</w:t>
      </w:r>
      <w:r>
        <w:rPr>
          <w:rFonts w:hint="eastAsia" w:eastAsia="仿宋" w:cs="仿宋"/>
          <w:sz w:val="28"/>
          <w:szCs w:val="28"/>
        </w:rPr>
        <w:t>年学位点积极参加湖南省教育厅举办的各种学位点建设活动、工商管理论坛以及会计论坛。10月12日，学院院长龙海军教授、学院学科办主任袁明达副教授等参加全国MBA培养院校课堂体验与案例建设研讨会，有助于强化</w:t>
      </w:r>
      <w:r>
        <w:rPr>
          <w:rFonts w:hint="eastAsia" w:eastAsia="仿宋" w:cs="仿宋"/>
          <w:sz w:val="28"/>
          <w:szCs w:val="28"/>
          <w:lang w:val="en-US" w:eastAsia="zh-CN"/>
        </w:rPr>
        <w:t>学位点</w:t>
      </w:r>
      <w:r>
        <w:rPr>
          <w:rFonts w:hint="eastAsia" w:eastAsia="仿宋" w:cs="仿宋"/>
          <w:sz w:val="28"/>
          <w:szCs w:val="28"/>
        </w:rPr>
        <w:t>案例教学，助力我校工商管理研究生培养质量的提升。</w:t>
      </w:r>
    </w:p>
    <w:bookmarkEnd w:id="4"/>
    <w:p w14:paraId="0C2D1C77">
      <w:pPr>
        <w:pStyle w:val="6"/>
        <w:snapToGrid w:val="0"/>
        <w:spacing w:before="0" w:after="0" w:line="360" w:lineRule="auto"/>
        <w:ind w:firstLine="662" w:firstLineChars="200"/>
        <w:rPr>
          <w:rFonts w:ascii="仿宋" w:hAnsi="仿宋" w:eastAsia="仿宋"/>
          <w:w w:val="110"/>
          <w:sz w:val="30"/>
          <w:szCs w:val="30"/>
        </w:rPr>
      </w:pPr>
      <w:bookmarkStart w:id="5" w:name="_Toc92275535"/>
      <w:bookmarkStart w:id="6" w:name="_Hlk92273217"/>
      <w:r>
        <w:rPr>
          <w:rFonts w:hint="eastAsia" w:ascii="仿宋" w:hAnsi="仿宋" w:eastAsia="仿宋"/>
          <w:w w:val="110"/>
          <w:sz w:val="30"/>
          <w:szCs w:val="30"/>
        </w:rPr>
        <w:t>3.研究生招生就业情况</w:t>
      </w:r>
      <w:bookmarkEnd w:id="5"/>
    </w:p>
    <w:bookmarkEnd w:id="6"/>
    <w:p w14:paraId="39A9C185">
      <w:pPr>
        <w:snapToGrid w:val="0"/>
        <w:spacing w:line="360" w:lineRule="auto"/>
        <w:ind w:firstLine="588" w:firstLineChars="200"/>
        <w:rPr>
          <w:rFonts w:ascii="仿宋" w:hAnsi="仿宋" w:eastAsia="仿宋"/>
          <w:spacing w:val="-7"/>
          <w:w w:val="110"/>
          <w:sz w:val="28"/>
          <w:szCs w:val="28"/>
        </w:rPr>
      </w:pPr>
      <w:bookmarkStart w:id="7" w:name="_Hlk92273347"/>
      <w:r>
        <w:rPr>
          <w:rFonts w:hint="eastAsia" w:ascii="仿宋" w:hAnsi="仿宋" w:eastAsia="仿宋"/>
          <w:spacing w:val="-7"/>
          <w:w w:val="110"/>
          <w:sz w:val="28"/>
          <w:szCs w:val="28"/>
        </w:rPr>
        <w:t>本年度学位点积极进行招生宣传活动，发布了多项研究生招生和调剂的微信推文，</w:t>
      </w:r>
      <w:bookmarkEnd w:id="7"/>
      <w:r>
        <w:rPr>
          <w:rFonts w:hint="eastAsia" w:ascii="仿宋" w:hAnsi="仿宋" w:eastAsia="仿宋"/>
          <w:spacing w:val="-7"/>
          <w:w w:val="110"/>
          <w:sz w:val="28"/>
          <w:szCs w:val="28"/>
        </w:rPr>
        <w:t>本年度共招生1</w:t>
      </w:r>
      <w:r>
        <w:rPr>
          <w:rFonts w:ascii="仿宋" w:hAnsi="仿宋" w:eastAsia="仿宋"/>
          <w:spacing w:val="-7"/>
          <w:w w:val="110"/>
          <w:sz w:val="28"/>
          <w:szCs w:val="28"/>
        </w:rPr>
        <w:t>4</w:t>
      </w:r>
      <w:r>
        <w:rPr>
          <w:rFonts w:hint="eastAsia" w:ascii="仿宋" w:hAnsi="仿宋" w:eastAsia="仿宋"/>
          <w:spacing w:val="-7"/>
          <w:w w:val="110"/>
          <w:sz w:val="28"/>
          <w:szCs w:val="28"/>
        </w:rPr>
        <w:t>名研究生，现有在校研究生数量为</w:t>
      </w:r>
      <w:r>
        <w:rPr>
          <w:rFonts w:ascii="仿宋" w:hAnsi="仿宋" w:eastAsia="仿宋"/>
          <w:spacing w:val="-7"/>
          <w:w w:val="110"/>
          <w:sz w:val="28"/>
          <w:szCs w:val="28"/>
        </w:rPr>
        <w:t>41</w:t>
      </w:r>
      <w:r>
        <w:rPr>
          <w:rFonts w:hint="eastAsia" w:ascii="仿宋" w:hAnsi="仿宋" w:eastAsia="仿宋"/>
          <w:spacing w:val="-7"/>
          <w:w w:val="110"/>
          <w:sz w:val="28"/>
          <w:szCs w:val="28"/>
        </w:rPr>
        <w:t>名。202</w:t>
      </w:r>
      <w:r>
        <w:rPr>
          <w:rFonts w:ascii="仿宋" w:hAnsi="仿宋" w:eastAsia="仿宋"/>
          <w:spacing w:val="-7"/>
          <w:w w:val="110"/>
          <w:sz w:val="28"/>
          <w:szCs w:val="28"/>
        </w:rPr>
        <w:t>4</w:t>
      </w:r>
      <w:r>
        <w:rPr>
          <w:rFonts w:hint="eastAsia" w:ascii="仿宋" w:hAnsi="仿宋" w:eastAsia="仿宋"/>
          <w:spacing w:val="-7"/>
          <w:w w:val="110"/>
          <w:sz w:val="28"/>
          <w:szCs w:val="28"/>
        </w:rPr>
        <w:t>年毕业研究生</w:t>
      </w:r>
      <w:r>
        <w:rPr>
          <w:rFonts w:ascii="仿宋" w:hAnsi="仿宋" w:eastAsia="仿宋"/>
          <w:spacing w:val="-7"/>
          <w:w w:val="110"/>
          <w:sz w:val="28"/>
          <w:szCs w:val="28"/>
        </w:rPr>
        <w:t>13</w:t>
      </w:r>
      <w:r>
        <w:rPr>
          <w:rFonts w:hint="eastAsia" w:ascii="仿宋" w:hAnsi="仿宋" w:eastAsia="仿宋"/>
          <w:spacing w:val="-7"/>
          <w:w w:val="110"/>
          <w:sz w:val="28"/>
          <w:szCs w:val="28"/>
        </w:rPr>
        <w:t>名，授予学位</w:t>
      </w:r>
      <w:r>
        <w:rPr>
          <w:rFonts w:ascii="仿宋" w:hAnsi="仿宋" w:eastAsia="仿宋"/>
          <w:spacing w:val="-7"/>
          <w:w w:val="110"/>
          <w:sz w:val="28"/>
          <w:szCs w:val="28"/>
        </w:rPr>
        <w:t>13</w:t>
      </w:r>
      <w:r>
        <w:rPr>
          <w:rFonts w:hint="eastAsia" w:ascii="仿宋" w:hAnsi="仿宋" w:eastAsia="仿宋"/>
          <w:spacing w:val="-7"/>
          <w:w w:val="110"/>
          <w:sz w:val="28"/>
          <w:szCs w:val="28"/>
        </w:rPr>
        <w:t>名，毕业研究生的就业状况较去年有较大改观，本年度已毕业研究生实现一次就业率</w:t>
      </w:r>
      <w:r>
        <w:rPr>
          <w:rFonts w:ascii="仿宋" w:hAnsi="仿宋" w:eastAsia="仿宋"/>
          <w:spacing w:val="-7"/>
          <w:w w:val="110"/>
          <w:sz w:val="28"/>
          <w:szCs w:val="28"/>
        </w:rPr>
        <w:t>92.3</w:t>
      </w:r>
      <w:r>
        <w:rPr>
          <w:rFonts w:hint="eastAsia" w:ascii="仿宋" w:hAnsi="仿宋" w:eastAsia="仿宋"/>
          <w:spacing w:val="-7"/>
          <w:w w:val="110"/>
          <w:sz w:val="28"/>
          <w:szCs w:val="28"/>
        </w:rPr>
        <w:t>%。</w:t>
      </w:r>
    </w:p>
    <w:p w14:paraId="4071DF50">
      <w:pPr>
        <w:pStyle w:val="6"/>
        <w:snapToGrid w:val="0"/>
        <w:spacing w:before="0" w:after="0" w:line="360" w:lineRule="auto"/>
        <w:ind w:firstLine="662" w:firstLineChars="200"/>
        <w:rPr>
          <w:rFonts w:ascii="仿宋" w:hAnsi="仿宋" w:eastAsia="仿宋"/>
          <w:w w:val="110"/>
          <w:sz w:val="30"/>
          <w:szCs w:val="30"/>
        </w:rPr>
      </w:pPr>
      <w:bookmarkStart w:id="8" w:name="_Toc92275536"/>
      <w:bookmarkStart w:id="9" w:name="_Hlk92273235"/>
      <w:r>
        <w:rPr>
          <w:rFonts w:hint="eastAsia" w:ascii="仿宋" w:hAnsi="仿宋" w:eastAsia="仿宋"/>
          <w:w w:val="110"/>
          <w:sz w:val="30"/>
          <w:szCs w:val="30"/>
        </w:rPr>
        <w:t>4.研究生导师状况</w:t>
      </w:r>
      <w:bookmarkEnd w:id="8"/>
    </w:p>
    <w:bookmarkEnd w:id="9"/>
    <w:p w14:paraId="2CD3BDCF">
      <w:pPr>
        <w:snapToGrid w:val="0"/>
        <w:spacing w:line="360" w:lineRule="auto"/>
        <w:ind w:firstLine="588" w:firstLineChars="200"/>
        <w:rPr>
          <w:rFonts w:hint="eastAsia" w:ascii="仿宋" w:hAnsi="仿宋" w:eastAsia="仿宋"/>
          <w:color w:val="000000" w:themeColor="text1"/>
          <w:spacing w:val="-7"/>
          <w:w w:val="110"/>
          <w:sz w:val="30"/>
          <w:szCs w:val="30"/>
          <w14:textFill>
            <w14:solidFill>
              <w14:schemeClr w14:val="tx1"/>
            </w14:solidFill>
          </w14:textFill>
        </w:rPr>
      </w:pPr>
      <w:r>
        <w:rPr>
          <w:rFonts w:hint="eastAsia" w:ascii="仿宋" w:hAnsi="仿宋" w:eastAsia="仿宋"/>
          <w:color w:val="000000" w:themeColor="text1"/>
          <w:spacing w:val="-7"/>
          <w:w w:val="110"/>
          <w:sz w:val="28"/>
          <w:szCs w:val="28"/>
          <w14:textFill>
            <w14:solidFill>
              <w14:schemeClr w14:val="tx1"/>
            </w14:solidFill>
          </w14:textFill>
        </w:rPr>
        <w:t>学位点现有导师</w:t>
      </w:r>
      <w:r>
        <w:rPr>
          <w:rFonts w:ascii="仿宋" w:hAnsi="仿宋" w:eastAsia="仿宋"/>
          <w:color w:val="000000" w:themeColor="text1"/>
          <w:spacing w:val="-7"/>
          <w:w w:val="110"/>
          <w:sz w:val="28"/>
          <w:szCs w:val="28"/>
          <w14:textFill>
            <w14:solidFill>
              <w14:schemeClr w14:val="tx1"/>
            </w14:solidFill>
          </w14:textFill>
        </w:rPr>
        <w:t>14</w:t>
      </w:r>
      <w:r>
        <w:rPr>
          <w:rFonts w:hint="eastAsia" w:ascii="仿宋" w:hAnsi="仿宋" w:eastAsia="仿宋"/>
          <w:color w:val="000000" w:themeColor="text1"/>
          <w:spacing w:val="-7"/>
          <w:w w:val="110"/>
          <w:sz w:val="28"/>
          <w:szCs w:val="28"/>
          <w14:textFill>
            <w14:solidFill>
              <w14:schemeClr w14:val="tx1"/>
            </w14:solidFill>
          </w14:textFill>
        </w:rPr>
        <w:t>名，其中博士1</w:t>
      </w:r>
      <w:r>
        <w:rPr>
          <w:rFonts w:ascii="仿宋" w:hAnsi="仿宋" w:eastAsia="仿宋"/>
          <w:color w:val="000000" w:themeColor="text1"/>
          <w:spacing w:val="-7"/>
          <w:w w:val="110"/>
          <w:sz w:val="28"/>
          <w:szCs w:val="28"/>
          <w14:textFill>
            <w14:solidFill>
              <w14:schemeClr w14:val="tx1"/>
            </w14:solidFill>
          </w14:textFill>
        </w:rPr>
        <w:t>3</w:t>
      </w:r>
      <w:r>
        <w:rPr>
          <w:rFonts w:hint="eastAsia" w:ascii="仿宋" w:hAnsi="仿宋" w:eastAsia="仿宋"/>
          <w:color w:val="000000" w:themeColor="text1"/>
          <w:spacing w:val="-7"/>
          <w:w w:val="110"/>
          <w:sz w:val="28"/>
          <w:szCs w:val="28"/>
          <w14:textFill>
            <w14:solidFill>
              <w14:schemeClr w14:val="tx1"/>
            </w14:solidFill>
          </w14:textFill>
        </w:rPr>
        <w:t>名，占比</w:t>
      </w:r>
      <w:r>
        <w:rPr>
          <w:rFonts w:ascii="仿宋" w:hAnsi="仿宋" w:eastAsia="仿宋"/>
          <w:color w:val="000000" w:themeColor="text1"/>
          <w:spacing w:val="-7"/>
          <w:w w:val="110"/>
          <w:sz w:val="28"/>
          <w:szCs w:val="28"/>
          <w14:textFill>
            <w14:solidFill>
              <w14:schemeClr w14:val="tx1"/>
            </w14:solidFill>
          </w14:textFill>
        </w:rPr>
        <w:t>92.9</w:t>
      </w:r>
      <w:r>
        <w:rPr>
          <w:rFonts w:hint="eastAsia" w:ascii="仿宋" w:hAnsi="仿宋" w:eastAsia="仿宋"/>
          <w:color w:val="000000" w:themeColor="text1"/>
          <w:spacing w:val="-7"/>
          <w:w w:val="110"/>
          <w:sz w:val="28"/>
          <w:szCs w:val="28"/>
          <w14:textFill>
            <w14:solidFill>
              <w14:schemeClr w14:val="tx1"/>
            </w14:solidFill>
          </w14:textFill>
        </w:rPr>
        <w:t>%，生师比为</w:t>
      </w:r>
      <w:r>
        <w:rPr>
          <w:rFonts w:ascii="仿宋" w:hAnsi="仿宋" w:eastAsia="仿宋"/>
          <w:color w:val="000000" w:themeColor="text1"/>
          <w:spacing w:val="-7"/>
          <w:w w:val="110"/>
          <w:sz w:val="28"/>
          <w:szCs w:val="28"/>
          <w14:textFill>
            <w14:solidFill>
              <w14:schemeClr w14:val="tx1"/>
            </w14:solidFill>
          </w14:textFill>
        </w:rPr>
        <w:t>3.14</w:t>
      </w:r>
      <w:r>
        <w:rPr>
          <w:rFonts w:hint="eastAsia" w:ascii="仿宋" w:hAnsi="仿宋" w:eastAsia="仿宋"/>
          <w:color w:val="000000" w:themeColor="text1"/>
          <w:spacing w:val="-7"/>
          <w:w w:val="110"/>
          <w:sz w:val="28"/>
          <w:szCs w:val="28"/>
          <w14:textFill>
            <w14:solidFill>
              <w14:schemeClr w14:val="tx1"/>
            </w14:solidFill>
          </w14:textFill>
        </w:rPr>
        <w:t>：1，</w:t>
      </w:r>
      <w:bookmarkStart w:id="10" w:name="_Hlk92273369"/>
      <w:r>
        <w:rPr>
          <w:rFonts w:hint="eastAsia" w:ascii="仿宋" w:hAnsi="仿宋" w:eastAsia="仿宋"/>
          <w:color w:val="000000" w:themeColor="text1"/>
          <w:spacing w:val="-7"/>
          <w:w w:val="110"/>
          <w:sz w:val="28"/>
          <w:szCs w:val="28"/>
          <w14:textFill>
            <w14:solidFill>
              <w14:schemeClr w14:val="tx1"/>
            </w14:solidFill>
          </w14:textFill>
        </w:rPr>
        <w:t>共有专任教师</w:t>
      </w:r>
      <w:r>
        <w:rPr>
          <w:rFonts w:ascii="仿宋" w:hAnsi="仿宋" w:eastAsia="仿宋"/>
          <w:color w:val="000000" w:themeColor="text1"/>
          <w:spacing w:val="-7"/>
          <w:w w:val="110"/>
          <w:sz w:val="28"/>
          <w:szCs w:val="28"/>
          <w14:textFill>
            <w14:solidFill>
              <w14:schemeClr w14:val="tx1"/>
            </w14:solidFill>
          </w14:textFill>
        </w:rPr>
        <w:t>35</w:t>
      </w:r>
      <w:r>
        <w:rPr>
          <w:rFonts w:hint="eastAsia" w:ascii="仿宋" w:hAnsi="仿宋" w:eastAsia="仿宋"/>
          <w:color w:val="000000" w:themeColor="text1"/>
          <w:spacing w:val="-7"/>
          <w:w w:val="110"/>
          <w:sz w:val="28"/>
          <w:szCs w:val="28"/>
          <w14:textFill>
            <w14:solidFill>
              <w14:schemeClr w14:val="tx1"/>
            </w14:solidFill>
          </w14:textFill>
        </w:rPr>
        <w:t>人，其中教授</w:t>
      </w:r>
      <w:r>
        <w:rPr>
          <w:rFonts w:ascii="仿宋" w:hAnsi="仿宋" w:eastAsia="仿宋"/>
          <w:color w:val="000000" w:themeColor="text1"/>
          <w:spacing w:val="-7"/>
          <w:w w:val="110"/>
          <w:sz w:val="28"/>
          <w:szCs w:val="28"/>
          <w14:textFill>
            <w14:solidFill>
              <w14:schemeClr w14:val="tx1"/>
            </w14:solidFill>
          </w14:textFill>
        </w:rPr>
        <w:t>9</w:t>
      </w:r>
      <w:r>
        <w:rPr>
          <w:rFonts w:hint="eastAsia" w:ascii="仿宋" w:hAnsi="仿宋" w:eastAsia="仿宋"/>
          <w:color w:val="000000" w:themeColor="text1"/>
          <w:spacing w:val="-7"/>
          <w:w w:val="110"/>
          <w:sz w:val="28"/>
          <w:szCs w:val="28"/>
          <w14:textFill>
            <w14:solidFill>
              <w14:schemeClr w14:val="tx1"/>
            </w14:solidFill>
          </w14:textFill>
        </w:rPr>
        <w:t>人、副教授18人，博士2</w:t>
      </w:r>
      <w:r>
        <w:rPr>
          <w:rFonts w:ascii="仿宋" w:hAnsi="仿宋" w:eastAsia="仿宋"/>
          <w:color w:val="000000" w:themeColor="text1"/>
          <w:spacing w:val="-7"/>
          <w:w w:val="110"/>
          <w:sz w:val="28"/>
          <w:szCs w:val="28"/>
          <w14:textFill>
            <w14:solidFill>
              <w14:schemeClr w14:val="tx1"/>
            </w14:solidFill>
          </w14:textFill>
        </w:rPr>
        <w:t>6</w:t>
      </w:r>
      <w:r>
        <w:rPr>
          <w:rFonts w:hint="eastAsia" w:ascii="仿宋" w:hAnsi="仿宋" w:eastAsia="仿宋"/>
          <w:color w:val="000000" w:themeColor="text1"/>
          <w:spacing w:val="-7"/>
          <w:w w:val="110"/>
          <w:sz w:val="28"/>
          <w:szCs w:val="28"/>
          <w14:textFill>
            <w14:solidFill>
              <w14:schemeClr w14:val="tx1"/>
            </w14:solidFill>
          </w14:textFill>
        </w:rPr>
        <w:t>人，教育部新世纪人才计划人选1人、省级学科带头人1人、湖南省学科评议组成员1人、宝钢优秀教师1人，拥有一个湖南省优秀教学团队；</w:t>
      </w:r>
      <w:bookmarkEnd w:id="10"/>
      <w:bookmarkStart w:id="11" w:name="_Toc92275537"/>
      <w:r>
        <w:rPr>
          <w:rFonts w:hint="eastAsia" w:ascii="仿宋" w:hAnsi="仿宋" w:eastAsia="仿宋"/>
          <w:color w:val="000000" w:themeColor="text1"/>
          <w:spacing w:val="-7"/>
          <w:w w:val="110"/>
          <w:sz w:val="28"/>
          <w:szCs w:val="28"/>
          <w14:textFill>
            <w14:solidFill>
              <w14:schemeClr w14:val="tx1"/>
            </w14:solidFill>
          </w14:textFill>
        </w:rPr>
        <w:t>教师学缘结构合理，分别来自北京大学、南开大学、中山大学、中南大学、华中科技大学、中南财经政法大学、西南财经大学、陕西师范大学、北京林业大学等国内著名高校。</w:t>
      </w:r>
    </w:p>
    <w:p w14:paraId="522585A4">
      <w:pPr>
        <w:pStyle w:val="5"/>
        <w:snapToGrid w:val="0"/>
        <w:spacing w:before="0" w:after="0" w:line="240" w:lineRule="auto"/>
        <w:rPr>
          <w:rFonts w:ascii="黑体" w:hAnsi="黑体" w:eastAsia="黑体"/>
          <w:b w:val="0"/>
          <w:bCs w:val="0"/>
        </w:rPr>
      </w:pPr>
      <w:r>
        <w:rPr>
          <w:rFonts w:hint="eastAsia" w:ascii="黑体" w:hAnsi="黑体" w:eastAsia="黑体"/>
          <w:b w:val="0"/>
          <w:bCs w:val="0"/>
        </w:rPr>
        <w:t>二、研究生党建与思想政治教育工作</w:t>
      </w:r>
      <w:bookmarkEnd w:id="11"/>
    </w:p>
    <w:p w14:paraId="0484BD72">
      <w:pPr>
        <w:pStyle w:val="6"/>
        <w:snapToGrid w:val="0"/>
        <w:spacing w:before="0" w:after="0" w:line="360" w:lineRule="auto"/>
        <w:ind w:firstLine="662" w:firstLineChars="200"/>
        <w:rPr>
          <w:rFonts w:ascii="仿宋" w:hAnsi="仿宋" w:eastAsia="仿宋"/>
          <w:w w:val="110"/>
          <w:sz w:val="30"/>
          <w:szCs w:val="30"/>
        </w:rPr>
      </w:pPr>
      <w:bookmarkStart w:id="12" w:name="_Toc92275538"/>
      <w:bookmarkStart w:id="13" w:name="_Hlk92201961"/>
      <w:r>
        <w:rPr>
          <w:rFonts w:hint="eastAsia" w:ascii="仿宋" w:hAnsi="仿宋" w:eastAsia="仿宋"/>
          <w:w w:val="110"/>
          <w:sz w:val="30"/>
          <w:szCs w:val="30"/>
        </w:rPr>
        <w:t>1</w:t>
      </w:r>
      <w:r>
        <w:rPr>
          <w:rFonts w:ascii="仿宋" w:hAnsi="仿宋" w:eastAsia="仿宋"/>
          <w:w w:val="110"/>
          <w:sz w:val="30"/>
          <w:szCs w:val="30"/>
        </w:rPr>
        <w:t>.</w:t>
      </w:r>
      <w:r>
        <w:rPr>
          <w:rFonts w:hint="eastAsia" w:ascii="仿宋" w:hAnsi="仿宋" w:eastAsia="仿宋"/>
          <w:w w:val="110"/>
          <w:sz w:val="30"/>
          <w:szCs w:val="30"/>
        </w:rPr>
        <w:t>思想政治教育队伍建设</w:t>
      </w:r>
      <w:bookmarkEnd w:id="12"/>
    </w:p>
    <w:p w14:paraId="73648239">
      <w:pPr>
        <w:snapToGrid w:val="0"/>
        <w:spacing w:line="360" w:lineRule="auto"/>
        <w:ind w:firstLine="560" w:firstLineChars="200"/>
        <w:rPr>
          <w:rFonts w:ascii="仿宋" w:hAnsi="仿宋" w:eastAsia="仿宋" w:cs="仿宋"/>
          <w:sz w:val="30"/>
          <w:szCs w:val="30"/>
        </w:rPr>
      </w:pPr>
      <w:r>
        <w:rPr>
          <w:rFonts w:hint="eastAsia" w:ascii="仿宋" w:hAnsi="仿宋" w:eastAsia="仿宋" w:cs="仿宋"/>
          <w:sz w:val="28"/>
          <w:szCs w:val="28"/>
        </w:rPr>
        <w:t>根据研究生教育管理的需要，成立了以主管研究生思想政治工作的学院党委书记为组长、分管研究生教育培养的院领导为副组长，研究生专职秘书、研究生思想政治教育专干、研究生就业专干、班主任、研究生导师代表为成员的院研究生思想政治教育工作小组；组建了学院研究生分会、班委会、团支部和党支部，完善了研究生思想政治教育队伍建设。</w:t>
      </w:r>
    </w:p>
    <w:bookmarkEnd w:id="13"/>
    <w:p w14:paraId="71E4AD4E">
      <w:pPr>
        <w:pStyle w:val="6"/>
        <w:snapToGrid w:val="0"/>
        <w:spacing w:before="0" w:after="0" w:line="360" w:lineRule="auto"/>
        <w:ind w:firstLine="662" w:firstLineChars="200"/>
        <w:rPr>
          <w:rFonts w:ascii="仿宋" w:hAnsi="仿宋" w:eastAsia="仿宋"/>
          <w:w w:val="110"/>
          <w:sz w:val="30"/>
          <w:szCs w:val="30"/>
        </w:rPr>
      </w:pPr>
      <w:bookmarkStart w:id="14" w:name="_Toc92275539"/>
      <w:bookmarkStart w:id="15" w:name="_Hlk92202012"/>
      <w:r>
        <w:rPr>
          <w:rFonts w:hint="eastAsia" w:ascii="仿宋" w:hAnsi="仿宋" w:eastAsia="仿宋"/>
          <w:w w:val="110"/>
          <w:sz w:val="30"/>
          <w:szCs w:val="30"/>
        </w:rPr>
        <w:t>2.理想信念和社会主义核心价值观教育</w:t>
      </w:r>
      <w:bookmarkEnd w:id="14"/>
    </w:p>
    <w:bookmarkEnd w:id="15"/>
    <w:p w14:paraId="6E05E154">
      <w:pPr>
        <w:snapToGrid w:val="0"/>
        <w:spacing w:line="360" w:lineRule="auto"/>
        <w:ind w:firstLine="560" w:firstLineChars="200"/>
        <w:rPr>
          <w:rFonts w:ascii="仿宋" w:hAnsi="仿宋" w:eastAsia="仿宋" w:cs="仿宋"/>
          <w:sz w:val="28"/>
          <w:szCs w:val="28"/>
        </w:rPr>
      </w:pPr>
      <w:bookmarkStart w:id="16" w:name="_Hlk92202057"/>
      <w:r>
        <w:rPr>
          <w:rFonts w:hint="eastAsia" w:ascii="仿宋" w:hAnsi="仿宋" w:eastAsia="仿宋" w:cs="仿宋"/>
          <w:sz w:val="28"/>
          <w:szCs w:val="28"/>
        </w:rPr>
        <w:t>学位点在研究生入学初即开展了研究生入学教育，对师生的理想信念和社会主义核心价值观教育等进行教育</w:t>
      </w:r>
      <w:r>
        <w:rPr>
          <w:rFonts w:hint="eastAsia" w:ascii="仿宋" w:hAnsi="仿宋" w:eastAsia="仿宋" w:cs="仿宋"/>
          <w:sz w:val="28"/>
          <w:szCs w:val="28"/>
          <w:lang w:eastAsia="zh-CN"/>
        </w:rPr>
        <w:t>。</w:t>
      </w:r>
      <w:r>
        <w:rPr>
          <w:rFonts w:hint="eastAsia" w:ascii="仿宋" w:hAnsi="仿宋" w:eastAsia="仿宋" w:cs="仿宋"/>
          <w:sz w:val="28"/>
          <w:szCs w:val="28"/>
        </w:rPr>
        <w:t>学位点领导和班主任与202</w:t>
      </w:r>
      <w:r>
        <w:rPr>
          <w:rFonts w:ascii="仿宋" w:hAnsi="仿宋" w:eastAsia="仿宋" w:cs="仿宋"/>
          <w:sz w:val="28"/>
          <w:szCs w:val="28"/>
        </w:rPr>
        <w:t>4</w:t>
      </w:r>
      <w:r>
        <w:rPr>
          <w:rFonts w:hint="eastAsia" w:ascii="仿宋" w:hAnsi="仿宋" w:eastAsia="仿宋" w:cs="仿宋"/>
          <w:sz w:val="28"/>
          <w:szCs w:val="28"/>
        </w:rPr>
        <w:t>级研究生新生开展</w:t>
      </w:r>
      <w:r>
        <w:rPr>
          <w:rFonts w:hint="eastAsia" w:ascii="仿宋" w:hAnsi="仿宋" w:eastAsia="仿宋" w:cs="仿宋"/>
          <w:sz w:val="28"/>
          <w:szCs w:val="28"/>
          <w:lang w:val="en-US" w:eastAsia="zh-CN"/>
        </w:rPr>
        <w:t>了多次</w:t>
      </w:r>
      <w:r>
        <w:rPr>
          <w:rFonts w:hint="eastAsia" w:ascii="仿宋" w:hAnsi="仿宋" w:eastAsia="仿宋" w:cs="仿宋"/>
          <w:sz w:val="28"/>
          <w:szCs w:val="28"/>
        </w:rPr>
        <w:t>团建活动，同时邀请已考上博士研究生的常乐等毕业生与之开展学习经验交流</w:t>
      </w:r>
      <w:r>
        <w:rPr>
          <w:rFonts w:hint="eastAsia" w:ascii="仿宋" w:hAnsi="仿宋" w:eastAsia="仿宋" w:cs="仿宋"/>
          <w:sz w:val="28"/>
          <w:szCs w:val="28"/>
          <w:lang w:eastAsia="zh-CN"/>
        </w:rPr>
        <w:t>，</w:t>
      </w:r>
      <w:r>
        <w:rPr>
          <w:rFonts w:hint="eastAsia" w:ascii="仿宋" w:hAnsi="仿宋" w:eastAsia="仿宋" w:cs="仿宋"/>
          <w:sz w:val="28"/>
          <w:szCs w:val="28"/>
        </w:rPr>
        <w:t>让202</w:t>
      </w:r>
      <w:r>
        <w:rPr>
          <w:rFonts w:ascii="仿宋" w:hAnsi="仿宋" w:eastAsia="仿宋" w:cs="仿宋"/>
          <w:sz w:val="28"/>
          <w:szCs w:val="28"/>
        </w:rPr>
        <w:t>4</w:t>
      </w:r>
      <w:r>
        <w:rPr>
          <w:rFonts w:hint="eastAsia" w:ascii="仿宋" w:hAnsi="仿宋" w:eastAsia="仿宋" w:cs="仿宋"/>
          <w:sz w:val="28"/>
          <w:szCs w:val="28"/>
        </w:rPr>
        <w:t>级研究生新生“稳心、暖心、贴心”。</w:t>
      </w:r>
      <w:r>
        <w:rPr>
          <w:rFonts w:hint="eastAsia" w:ascii="仿宋" w:hAnsi="仿宋" w:eastAsia="仿宋" w:cs="仿宋"/>
          <w:color w:val="auto"/>
          <w:sz w:val="28"/>
          <w:szCs w:val="28"/>
          <w:lang w:val="en-US" w:eastAsia="zh-CN"/>
        </w:rPr>
        <w:t>并以系列活动扎实推进学生知社情、懂民情，把科学研究与社会发展扎根在湘西大地上</w:t>
      </w:r>
      <w:r>
        <w:rPr>
          <w:rFonts w:hint="eastAsia" w:ascii="仿宋" w:hAnsi="仿宋" w:eastAsia="仿宋" w:cs="仿宋"/>
          <w:color w:val="auto"/>
          <w:sz w:val="28"/>
          <w:szCs w:val="28"/>
        </w:rPr>
        <w:t>。</w:t>
      </w:r>
      <w:r>
        <w:rPr>
          <w:rFonts w:hint="eastAsia" w:ascii="仿宋" w:hAnsi="仿宋" w:eastAsia="仿宋" w:cs="仿宋"/>
          <w:sz w:val="28"/>
          <w:szCs w:val="28"/>
        </w:rPr>
        <w:t>发表与西部和民族地区相关论文</w:t>
      </w:r>
      <w:r>
        <w:rPr>
          <w:rFonts w:ascii="仿宋" w:hAnsi="仿宋" w:eastAsia="仿宋" w:cs="仿宋"/>
          <w:sz w:val="28"/>
          <w:szCs w:val="28"/>
        </w:rPr>
        <w:t>38</w:t>
      </w:r>
      <w:r>
        <w:rPr>
          <w:rFonts w:hint="eastAsia" w:ascii="仿宋" w:hAnsi="仿宋" w:eastAsia="仿宋" w:cs="仿宋"/>
          <w:sz w:val="28"/>
          <w:szCs w:val="28"/>
        </w:rPr>
        <w:t>余篇</w:t>
      </w:r>
      <w:r>
        <w:rPr>
          <w:rFonts w:hint="eastAsia" w:ascii="仿宋" w:hAnsi="仿宋" w:eastAsia="仿宋" w:cs="仿宋"/>
          <w:sz w:val="28"/>
          <w:szCs w:val="28"/>
          <w:lang w:eastAsia="zh-CN"/>
        </w:rPr>
        <w:t>，</w:t>
      </w:r>
      <w:r>
        <w:rPr>
          <w:rFonts w:hint="eastAsia" w:ascii="仿宋" w:hAnsi="仿宋" w:eastAsia="仿宋" w:cs="仿宋"/>
          <w:sz w:val="28"/>
          <w:szCs w:val="28"/>
        </w:rPr>
        <w:t>受邀参加农业农村部“百校联百县兴千村”行动座谈会</w:t>
      </w:r>
      <w:r>
        <w:rPr>
          <w:rFonts w:hint="eastAsia" w:ascii="仿宋" w:hAnsi="仿宋" w:eastAsia="仿宋" w:cs="仿宋"/>
          <w:sz w:val="28"/>
          <w:szCs w:val="28"/>
          <w:lang w:eastAsia="zh-CN"/>
        </w:rPr>
        <w:t>，</w:t>
      </w:r>
      <w:r>
        <w:rPr>
          <w:rFonts w:hint="eastAsia" w:ascii="仿宋" w:hAnsi="仿宋" w:eastAsia="仿宋" w:cs="仿宋"/>
          <w:sz w:val="28"/>
          <w:szCs w:val="28"/>
        </w:rPr>
        <w:t>启动了助力永顺县五官村乡村振兴系列活动</w:t>
      </w:r>
      <w:r>
        <w:rPr>
          <w:rFonts w:hint="eastAsia" w:ascii="仿宋" w:hAnsi="仿宋" w:eastAsia="仿宋" w:cs="仿宋"/>
          <w:sz w:val="28"/>
          <w:szCs w:val="28"/>
          <w:lang w:eastAsia="zh-CN"/>
        </w:rPr>
        <w:t>，</w:t>
      </w:r>
      <w:r>
        <w:rPr>
          <w:rFonts w:hint="eastAsia" w:ascii="仿宋" w:hAnsi="仿宋" w:eastAsia="仿宋" w:cs="仿宋"/>
          <w:sz w:val="28"/>
          <w:szCs w:val="28"/>
        </w:rPr>
        <w:t>与湘西长行村镇银行联合召开校企合作助力乡村振兴工作洽谈会，就共同助力乡村振兴议题进行了深入交流探讨，并共同谋划了下一阶段校企合作项目形式和内容；受邀承担202</w:t>
      </w:r>
      <w:r>
        <w:rPr>
          <w:rFonts w:ascii="仿宋" w:hAnsi="仿宋" w:eastAsia="仿宋" w:cs="仿宋"/>
          <w:sz w:val="28"/>
          <w:szCs w:val="28"/>
        </w:rPr>
        <w:t>4</w:t>
      </w:r>
      <w:r>
        <w:rPr>
          <w:rFonts w:hint="eastAsia" w:ascii="仿宋" w:hAnsi="仿宋" w:eastAsia="仿宋" w:cs="仿宋"/>
          <w:sz w:val="28"/>
          <w:szCs w:val="28"/>
        </w:rPr>
        <w:t>年湘西自治州旅游抽样调查工作。</w:t>
      </w:r>
    </w:p>
    <w:bookmarkEnd w:id="16"/>
    <w:p w14:paraId="72A24C39">
      <w:pPr>
        <w:pStyle w:val="6"/>
        <w:snapToGrid w:val="0"/>
        <w:spacing w:before="0" w:after="0" w:line="360" w:lineRule="auto"/>
        <w:ind w:firstLine="662" w:firstLineChars="200"/>
        <w:rPr>
          <w:rFonts w:ascii="仿宋" w:hAnsi="仿宋" w:eastAsia="仿宋"/>
          <w:w w:val="110"/>
          <w:sz w:val="30"/>
          <w:szCs w:val="30"/>
        </w:rPr>
      </w:pPr>
      <w:bookmarkStart w:id="17" w:name="_Toc92275540"/>
      <w:bookmarkStart w:id="18" w:name="_Hlk92202064"/>
      <w:r>
        <w:rPr>
          <w:rFonts w:hint="eastAsia" w:ascii="仿宋" w:hAnsi="仿宋" w:eastAsia="仿宋"/>
          <w:w w:val="110"/>
          <w:sz w:val="30"/>
          <w:szCs w:val="30"/>
        </w:rPr>
        <w:t>3.学位点文化建设情况</w:t>
      </w:r>
      <w:bookmarkEnd w:id="17"/>
    </w:p>
    <w:bookmarkEnd w:id="18"/>
    <w:p w14:paraId="57531886">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本年度全面落实立德树人根本任务，将立德树人具化为培养学生经世济民情怀，着力构建一体化育人体系，形成思政教育大格局。 </w:t>
      </w:r>
    </w:p>
    <w:p w14:paraId="29E0A339">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1）衔接“课内课外”，创新课程思政改革。推行“问题导向+学理剖析”课程教学模式，建立“思政课+专业课+通识课”的大思政课程育人体系。依托“精准扶贫首倡地”区位优势，从“传统文化+国家战略+经济伦理”三维度挖掘课程思政元素，将专业知识传授、科学精神养成、学术理想培养有机融合。打造“三季育人”品牌，“新生季”环境熏陶新生“享温暖、增认同、转身份”，“学习季”课程引导学生“受启发、传价值、导言行”，“毕业季”实践历练学生“树理想、明责任、勇担当”。 </w:t>
      </w:r>
    </w:p>
    <w:p w14:paraId="29E293AE">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2）打造“三个文化”，推进社会实践开展。打造“弘扬红色文化”实践活动，依托“灯塔学子”志愿服务、“青年红色筑梦之旅”活动，开展红色实践，传承红色基因。实施“传承传统文化”实践活动，依托五四歌咏比赛、武陵风情风俗走访活动等，传承传统文化。开展“打造职业文化”实践活动。 </w:t>
      </w:r>
    </w:p>
    <w:p w14:paraId="7448491C">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管控“线上+线下”，筑牢意识形态阵地。依托“吉大商学院”“研经商思”公众号和“易班网”等线上思政教育平台，制定《网站群平台管理办法》《新媒体平台管理办法》，加强线上宣传阵地管控。严格执行“一会一报”“一事一报”制度；严格出版物“三审三校”制度，加强教材、教辅资料、学生论文的内容审查，加强线下宣传阵地监管。</w:t>
      </w:r>
    </w:p>
    <w:p w14:paraId="14299B47">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加强思想引领，让政治建设强起来。在人才引进、导师评聘、职称评定中把师德师风作为首要标准。聚焦组织建设，让作用发挥强起来。落实“党支部+”工作方案，夯实党支部支撑学科发展着力点。聚焦人才建设，让支部书记强起来。把支部书记作为人才储备进行培养，选拔优秀“双带头人”。在学生状态信息管理上实施四级包联制度，让学生状态信息及时、准确反馈到学位点、学院和学校，以便于正确应对各类突发事件。</w:t>
      </w:r>
    </w:p>
    <w:p w14:paraId="1B36C00C">
      <w:pPr>
        <w:pStyle w:val="6"/>
        <w:snapToGrid w:val="0"/>
        <w:spacing w:before="0" w:after="0" w:line="360" w:lineRule="auto"/>
        <w:ind w:firstLine="662" w:firstLineChars="200"/>
        <w:rPr>
          <w:rFonts w:ascii="仿宋" w:hAnsi="仿宋" w:eastAsia="仿宋"/>
          <w:w w:val="110"/>
          <w:sz w:val="30"/>
          <w:szCs w:val="30"/>
        </w:rPr>
      </w:pPr>
      <w:bookmarkStart w:id="19" w:name="_Hlk92202121"/>
      <w:bookmarkStart w:id="20" w:name="_Toc92275541"/>
      <w:r>
        <w:rPr>
          <w:rFonts w:hint="eastAsia" w:ascii="仿宋" w:hAnsi="仿宋" w:eastAsia="仿宋"/>
          <w:w w:val="110"/>
          <w:sz w:val="30"/>
          <w:szCs w:val="30"/>
        </w:rPr>
        <w:t>4.学位点日常管理、服务工作情况</w:t>
      </w:r>
      <w:bookmarkEnd w:id="19"/>
      <w:bookmarkEnd w:id="20"/>
    </w:p>
    <w:p w14:paraId="1B1D7FD6">
      <w:pPr>
        <w:pStyle w:val="8"/>
        <w:tabs>
          <w:tab w:val="left" w:pos="8280"/>
        </w:tabs>
        <w:snapToGrid w:val="0"/>
        <w:spacing w:after="0" w:line="360" w:lineRule="auto"/>
        <w:ind w:right="26" w:firstLine="560" w:firstLineChars="200"/>
        <w:rPr>
          <w:rFonts w:ascii="仿宋" w:hAnsi="仿宋" w:eastAsia="仿宋"/>
          <w:spacing w:val="-7"/>
          <w:w w:val="110"/>
          <w:sz w:val="28"/>
          <w:szCs w:val="28"/>
        </w:rPr>
      </w:pPr>
      <w:r>
        <w:rPr>
          <w:rFonts w:hint="eastAsia" w:ascii="仿宋" w:hAnsi="仿宋" w:eastAsia="仿宋" w:cs="仿宋"/>
          <w:sz w:val="28"/>
          <w:szCs w:val="28"/>
        </w:rPr>
        <w:t>学位点积极组织研究生开展各种主题活动，本年度共组织或参加元旦晚会、毕业晚会、第十五届中国创新与企业成长（CI＆G）学术年会、</w:t>
      </w:r>
      <w:r>
        <w:rPr>
          <w:rFonts w:hint="eastAsia" w:ascii="仿宋" w:hAnsi="仿宋" w:eastAsia="仿宋" w:cs="仿宋"/>
          <w:sz w:val="28"/>
          <w:szCs w:val="28"/>
          <w:lang w:val="en-US" w:eastAsia="zh-CN"/>
        </w:rPr>
        <w:t>第二届</w:t>
      </w:r>
      <w:r>
        <w:rPr>
          <w:rFonts w:hint="eastAsia" w:ascii="仿宋" w:hAnsi="仿宋" w:eastAsia="仿宋" w:cs="仿宋"/>
          <w:sz w:val="28"/>
          <w:szCs w:val="28"/>
        </w:rPr>
        <w:t>中国研究生企业管理创新大赛</w:t>
      </w:r>
      <w:r>
        <w:rPr>
          <w:rFonts w:hint="eastAsia" w:ascii="仿宋" w:hAnsi="仿宋" w:eastAsia="仿宋" w:cs="仿宋"/>
          <w:sz w:val="28"/>
          <w:szCs w:val="28"/>
          <w:lang w:eastAsia="zh-CN"/>
        </w:rPr>
        <w:t>、</w:t>
      </w:r>
      <w:r>
        <w:rPr>
          <w:rFonts w:hint="eastAsia" w:ascii="仿宋" w:hAnsi="仿宋" w:eastAsia="仿宋" w:cs="仿宋"/>
          <w:sz w:val="28"/>
          <w:szCs w:val="28"/>
        </w:rPr>
        <w:t>“正大杯”第十四届全国大学生市场调查与分析大赛、第十一届湖南省“挑战杯”大学生创业计划竞赛、东方财富杯金融挑战赛、第四届湖南省金融案例大赛、湖南省第八届MBA企业案例大赛、湖南省第十七届研究生创新论坛“文旅深度融合与区域高质量发展”分论坛、2024湖南省西部综合开发研究会年会暨第七届“乡村振兴战略学术研讨会”</w:t>
      </w:r>
      <w:r>
        <w:rPr>
          <w:rFonts w:hint="eastAsia"/>
        </w:rPr>
        <w:t>、</w:t>
      </w:r>
      <w:r>
        <w:rPr>
          <w:rFonts w:hint="eastAsia" w:ascii="仿宋" w:hAnsi="仿宋" w:eastAsia="仿宋" w:cs="仿宋"/>
          <w:sz w:val="28"/>
          <w:szCs w:val="28"/>
        </w:rPr>
        <w:t>第九届湖南省研究生MPACC企业案例大赛、湖南省管理科学学会202</w:t>
      </w:r>
      <w:r>
        <w:rPr>
          <w:rFonts w:ascii="仿宋" w:hAnsi="仿宋" w:eastAsia="仿宋" w:cs="仿宋"/>
          <w:sz w:val="28"/>
          <w:szCs w:val="28"/>
        </w:rPr>
        <w:t>4</w:t>
      </w:r>
      <w:r>
        <w:rPr>
          <w:rFonts w:hint="eastAsia" w:ascii="仿宋" w:hAnsi="仿宋" w:eastAsia="仿宋" w:cs="仿宋"/>
          <w:sz w:val="28"/>
          <w:szCs w:val="28"/>
        </w:rPr>
        <w:t>年年会暨学术研讨会、湖南省技术经济与管理现代化研究会</w:t>
      </w:r>
      <w:r>
        <w:rPr>
          <w:rFonts w:hint="eastAsia" w:ascii="仿宋" w:hAnsi="仿宋" w:eastAsia="仿宋" w:cs="仿宋"/>
          <w:sz w:val="28"/>
          <w:szCs w:val="28"/>
          <w:lang w:val="en-US" w:eastAsia="zh-CN"/>
        </w:rPr>
        <w:t>等学术团体学术年会</w:t>
      </w:r>
      <w:r>
        <w:rPr>
          <w:rFonts w:hint="eastAsia" w:ascii="仿宋" w:hAnsi="仿宋" w:eastAsia="仿宋" w:cs="仿宋"/>
          <w:sz w:val="28"/>
          <w:szCs w:val="28"/>
        </w:rPr>
        <w:t>等丰富校园文化生活、增加专业素养的系列活动，且有较好的成绩。</w:t>
      </w:r>
    </w:p>
    <w:p w14:paraId="340AB463">
      <w:pPr>
        <w:pStyle w:val="5"/>
        <w:snapToGrid w:val="0"/>
        <w:spacing w:before="0" w:after="0" w:line="360" w:lineRule="auto"/>
        <w:rPr>
          <w:rFonts w:ascii="黑体" w:hAnsi="黑体" w:eastAsia="黑体"/>
          <w:b w:val="0"/>
          <w:bCs w:val="0"/>
        </w:rPr>
      </w:pPr>
      <w:bookmarkStart w:id="21" w:name="_Toc92275542"/>
      <w:r>
        <w:rPr>
          <w:rFonts w:hint="eastAsia" w:ascii="黑体" w:hAnsi="黑体" w:eastAsia="黑体"/>
          <w:b w:val="0"/>
          <w:bCs w:val="0"/>
        </w:rPr>
        <w:t>三、研究生培养相关制度及执行情况</w:t>
      </w:r>
      <w:bookmarkEnd w:id="21"/>
    </w:p>
    <w:p w14:paraId="19B6FF5A">
      <w:pPr>
        <w:pStyle w:val="6"/>
        <w:snapToGrid w:val="0"/>
        <w:spacing w:before="0" w:after="0" w:line="360" w:lineRule="auto"/>
        <w:ind w:firstLine="662" w:firstLineChars="200"/>
        <w:rPr>
          <w:rFonts w:ascii="仿宋" w:hAnsi="仿宋" w:eastAsia="仿宋"/>
          <w:w w:val="110"/>
          <w:sz w:val="30"/>
          <w:szCs w:val="30"/>
        </w:rPr>
      </w:pPr>
      <w:bookmarkStart w:id="22" w:name="_Toc92275543"/>
      <w:bookmarkStart w:id="23" w:name="_Hlk92202224"/>
      <w:r>
        <w:rPr>
          <w:rFonts w:hint="eastAsia" w:ascii="仿宋" w:hAnsi="仿宋" w:eastAsia="仿宋"/>
          <w:w w:val="110"/>
          <w:sz w:val="30"/>
          <w:szCs w:val="30"/>
        </w:rPr>
        <w:t>1.课程建设与实施情况</w:t>
      </w:r>
      <w:bookmarkEnd w:id="22"/>
    </w:p>
    <w:bookmarkEnd w:id="23"/>
    <w:p w14:paraId="1C6EF1D2">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以立德树人为根本，面向中西部地区企事业单位人才需要，坚持内涵式发展，推动思想政治教育、创新创业教育与专业教育深度融合，将“新商科”与“新文科”人才理念全方位深层次融入工商管理人才培养全过程，培养知国情、有道德、善管理、敢创业的工商管理高级专门人才。对照“新商科”和思政教育要求，构建多学科交叉的课程框架体系，建成“大数据素养”“特色资源开发管理”“减贫与发展”课程群。同时开发本土课程资源，打造一流课程教学内容。</w:t>
      </w:r>
    </w:p>
    <w:p w14:paraId="673FBBC3">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聚焦贫困地区工商管理学生学科知识、职业素质培养，充分开发已出版《贫困地区创业管理案例》《欠发达地区创业》《金字塔底层创业》《中国连片特困区发展报告》《旅游文化学导论》等本土特色教辅教材在研究生教育教学中的应用。</w:t>
      </w:r>
    </w:p>
    <w:p w14:paraId="131303B4">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在方法上深入推进课堂教学改革，实施一流课程教学模式。推动互联网、大数据等现代技术在课堂教学中的应用，构建“互联网+专业教育”智能课堂教学模式；大力开展课程网站建设，支持任课教师开展在线教学。依托本土课程资源开展案例研讨式教学，推行以能力培养为导向、以问题探究为中心的“教师引导-学生参与”式研究性教学体系。</w:t>
      </w:r>
    </w:p>
    <w:p w14:paraId="5B81DE64">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把教学质量作为职称评聘首要标准，开展教学型教授、副教授评聘；改革年终绩效分配，把参与教研活动、编写教材案例、指导学生创新创业训练等计入工作量；实施“教学督导+学生”评教制度，并将评价结果与年终绩效分配挂钩。</w:t>
      </w:r>
    </w:p>
    <w:p w14:paraId="7252A978">
      <w:pPr>
        <w:pStyle w:val="6"/>
        <w:snapToGrid w:val="0"/>
        <w:spacing w:before="0" w:after="0" w:line="360" w:lineRule="auto"/>
        <w:ind w:firstLine="662" w:firstLineChars="200"/>
        <w:rPr>
          <w:rFonts w:ascii="仿宋" w:hAnsi="仿宋" w:eastAsia="仿宋"/>
          <w:w w:val="110"/>
          <w:sz w:val="30"/>
          <w:szCs w:val="30"/>
        </w:rPr>
      </w:pPr>
      <w:bookmarkStart w:id="24" w:name="_Toc92275544"/>
      <w:bookmarkStart w:id="25" w:name="_Hlk92202233"/>
      <w:r>
        <w:rPr>
          <w:rFonts w:hint="eastAsia" w:ascii="仿宋" w:hAnsi="仿宋" w:eastAsia="仿宋"/>
          <w:w w:val="110"/>
          <w:sz w:val="30"/>
          <w:szCs w:val="30"/>
        </w:rPr>
        <w:t>2.导师选拔与培训情况</w:t>
      </w:r>
      <w:bookmarkEnd w:id="24"/>
      <w:r>
        <w:rPr>
          <w:rFonts w:hint="eastAsia" w:ascii="仿宋" w:hAnsi="仿宋" w:eastAsia="仿宋"/>
          <w:w w:val="110"/>
          <w:sz w:val="30"/>
          <w:szCs w:val="30"/>
        </w:rPr>
        <w:t xml:space="preserve"> </w:t>
      </w:r>
      <w:bookmarkEnd w:id="25"/>
    </w:p>
    <w:p w14:paraId="683C66B7">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年度学位点严格按照学院研究生培养的需要，遴选思想政治素质过硬、学术科研能力强、有责任心的博士或高级职称的专家学者成为硕士生导师。经严格规范程序筛选本年度学位点共聘任了校内导师3名，校外实践导师</w:t>
      </w:r>
      <w:r>
        <w:rPr>
          <w:rFonts w:ascii="仿宋" w:hAnsi="仿宋" w:eastAsia="仿宋" w:cs="仿宋"/>
          <w:sz w:val="28"/>
          <w:szCs w:val="28"/>
        </w:rPr>
        <w:t>1</w:t>
      </w:r>
      <w:r>
        <w:rPr>
          <w:rFonts w:hint="eastAsia" w:ascii="仿宋" w:hAnsi="仿宋" w:eastAsia="仿宋" w:cs="仿宋"/>
          <w:sz w:val="28"/>
          <w:szCs w:val="28"/>
        </w:rPr>
        <w:t>名，均具有博士学位。</w:t>
      </w:r>
    </w:p>
    <w:p w14:paraId="703D59B6">
      <w:pPr>
        <w:snapToGrid w:val="0"/>
        <w:spacing w:line="360" w:lineRule="auto"/>
        <w:ind w:firstLine="560" w:firstLineChars="200"/>
        <w:rPr>
          <w:rFonts w:ascii="仿宋" w:hAnsi="仿宋" w:eastAsia="仿宋" w:cs="仿宋"/>
          <w:sz w:val="30"/>
          <w:szCs w:val="30"/>
        </w:rPr>
      </w:pPr>
      <w:r>
        <w:rPr>
          <w:rFonts w:hint="eastAsia" w:ascii="仿宋" w:hAnsi="仿宋" w:eastAsia="仿宋" w:cs="仿宋"/>
          <w:sz w:val="28"/>
          <w:szCs w:val="28"/>
        </w:rPr>
        <w:t>学位点按照研究生导师的立德树人职责及三全育人标准对导师展开培训。本年度新增3名校内硕士生导师已培训合格上岗，学位点所有硕士生导师每年均定期参加了学校和学位点组织的各类培训。</w:t>
      </w:r>
    </w:p>
    <w:p w14:paraId="7CA79625">
      <w:pPr>
        <w:pStyle w:val="6"/>
        <w:snapToGrid w:val="0"/>
        <w:spacing w:before="0" w:after="0" w:line="360" w:lineRule="auto"/>
        <w:ind w:firstLine="662" w:firstLineChars="200"/>
        <w:rPr>
          <w:rFonts w:ascii="仿宋" w:hAnsi="仿宋" w:eastAsia="仿宋"/>
          <w:w w:val="110"/>
          <w:sz w:val="30"/>
          <w:szCs w:val="30"/>
        </w:rPr>
      </w:pPr>
      <w:bookmarkStart w:id="26" w:name="_Toc92275545"/>
      <w:bookmarkStart w:id="27" w:name="_Hlk92202299"/>
      <w:r>
        <w:rPr>
          <w:rFonts w:hint="eastAsia" w:ascii="仿宋" w:hAnsi="仿宋" w:eastAsia="仿宋"/>
          <w:w w:val="110"/>
          <w:sz w:val="30"/>
          <w:szCs w:val="30"/>
        </w:rPr>
        <w:t>3.师德师风建设情况</w:t>
      </w:r>
      <w:bookmarkEnd w:id="26"/>
      <w:r>
        <w:rPr>
          <w:rFonts w:hint="eastAsia" w:ascii="仿宋" w:hAnsi="仿宋" w:eastAsia="仿宋"/>
          <w:w w:val="110"/>
          <w:sz w:val="30"/>
          <w:szCs w:val="30"/>
        </w:rPr>
        <w:t xml:space="preserve"> </w:t>
      </w:r>
    </w:p>
    <w:bookmarkEnd w:id="27"/>
    <w:p w14:paraId="44381389">
      <w:pPr>
        <w:snapToGrid w:val="0"/>
        <w:spacing w:line="360" w:lineRule="auto"/>
        <w:ind w:firstLine="560" w:firstLineChars="200"/>
        <w:rPr>
          <w:rFonts w:ascii="仿宋" w:hAnsi="仿宋" w:eastAsia="仿宋" w:cs="仿宋"/>
          <w:sz w:val="28"/>
          <w:szCs w:val="28"/>
        </w:rPr>
      </w:pPr>
      <w:bookmarkStart w:id="28" w:name="_Toc92275546"/>
      <w:bookmarkStart w:id="29" w:name="_Hlk92202307"/>
      <w:r>
        <w:rPr>
          <w:rFonts w:hint="eastAsia" w:ascii="仿宋" w:hAnsi="仿宋" w:eastAsia="仿宋" w:cs="仿宋"/>
          <w:sz w:val="28"/>
          <w:szCs w:val="28"/>
        </w:rPr>
        <w:t>开展导师师德师风专题培训，要求导师对照研究生导师的立德树人职责做出自我评估，整改提高，实施师德师风一票否决制，全面落实师德师风建设相关标准与政策要求。开展以“加强师德师风建设争做‘四有’好老师”为主题的师德师风集中学习教育，主要内容包括学习师德师风相关规定文件，师德师风警示教育学习，主要是通过观看电影《黄大年》、分教研室进行主题为“加强师德师风建设，争做‘四有’好老师”的交流研讨。同时，学院党委还组织全体教师党员开展以“牢记立德树人使命，做铸魂育人践行者”为主题的学习研讨活动。</w:t>
      </w:r>
    </w:p>
    <w:p w14:paraId="36523F9E">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结合导师师德师风建设要求，学位点认真开展了导师202</w:t>
      </w:r>
      <w:r>
        <w:rPr>
          <w:rFonts w:ascii="仿宋" w:hAnsi="仿宋" w:eastAsia="仿宋" w:cs="仿宋"/>
          <w:sz w:val="28"/>
          <w:szCs w:val="28"/>
        </w:rPr>
        <w:t>4</w:t>
      </w:r>
      <w:r>
        <w:rPr>
          <w:rFonts w:hint="eastAsia" w:ascii="仿宋" w:hAnsi="仿宋" w:eastAsia="仿宋" w:cs="仿宋"/>
          <w:sz w:val="28"/>
          <w:szCs w:val="28"/>
        </w:rPr>
        <w:t xml:space="preserve">年度考核，明确了科研、教学和素养等各方面的综合要求，并将考核结果应用于导师的招生资格审查。对于违反导师行为准则、考核周期内指导学生出现学术造假或不端行为者，取消硕士研究生导师招生资格。 </w:t>
      </w:r>
    </w:p>
    <w:p w14:paraId="0C5F69DE">
      <w:pPr>
        <w:pStyle w:val="6"/>
        <w:snapToGrid w:val="0"/>
        <w:spacing w:before="0" w:after="0" w:line="360" w:lineRule="auto"/>
        <w:ind w:firstLine="662" w:firstLineChars="200"/>
        <w:rPr>
          <w:rFonts w:ascii="仿宋" w:hAnsi="仿宋" w:eastAsia="仿宋"/>
          <w:w w:val="110"/>
          <w:sz w:val="30"/>
          <w:szCs w:val="30"/>
        </w:rPr>
      </w:pPr>
      <w:r>
        <w:rPr>
          <w:rFonts w:hint="eastAsia" w:ascii="仿宋" w:hAnsi="仿宋" w:eastAsia="仿宋"/>
          <w:w w:val="110"/>
          <w:sz w:val="30"/>
          <w:szCs w:val="30"/>
        </w:rPr>
        <w:t>4.学术训练情况</w:t>
      </w:r>
      <w:bookmarkEnd w:id="28"/>
    </w:p>
    <w:p w14:paraId="436D187B">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学位点利用周末的时间为研究生举办“风雨湖大讲堂”，由学位点的外聘专家、本校教授、具有博士学位（或博士在读）的青年教师主要讲授，研究生们踊跃发言，其他老师点评或补充，每堂至少有3-4名具有博士学位或在读的博士教师到场参与点评，研究生参与热情很高，具体内容在微信公众号“研经商思”——风雨湖大讲堂内详细报导。</w:t>
      </w:r>
    </w:p>
    <w:bookmarkEnd w:id="29"/>
    <w:p w14:paraId="2FC1A2D4">
      <w:pPr>
        <w:snapToGrid w:val="0"/>
        <w:spacing w:line="360" w:lineRule="auto"/>
        <w:ind w:firstLine="588" w:firstLineChars="200"/>
        <w:jc w:val="left"/>
        <w:rPr>
          <w:rFonts w:ascii="仿宋" w:hAnsi="仿宋" w:eastAsia="仿宋"/>
          <w:spacing w:val="-7"/>
          <w:w w:val="110"/>
          <w:sz w:val="28"/>
          <w:szCs w:val="28"/>
        </w:rPr>
      </w:pPr>
      <w:bookmarkStart w:id="30" w:name="_Toc92275547"/>
      <w:bookmarkStart w:id="31" w:name="_Hlk92202332"/>
      <w:r>
        <w:rPr>
          <w:rFonts w:hint="eastAsia" w:ascii="仿宋" w:hAnsi="仿宋" w:eastAsia="仿宋"/>
          <w:spacing w:val="-7"/>
          <w:w w:val="110"/>
          <w:sz w:val="28"/>
          <w:szCs w:val="28"/>
          <w:lang w:val="en-US" w:eastAsia="zh-CN"/>
        </w:rPr>
        <w:t>学院举办了“培育新质生产力赋能高质量发展”为主题的2024年商学院研究生学术活动节，征集优秀论文与案例。另外</w:t>
      </w:r>
      <w:r>
        <w:rPr>
          <w:rFonts w:hint="eastAsia" w:ascii="仿宋" w:hAnsi="仿宋" w:eastAsia="仿宋"/>
          <w:spacing w:val="-7"/>
          <w:w w:val="110"/>
          <w:sz w:val="28"/>
          <w:szCs w:val="28"/>
        </w:rPr>
        <w:t>本年度共举办、承办、参加了202</w:t>
      </w:r>
      <w:r>
        <w:rPr>
          <w:rFonts w:hint="eastAsia" w:ascii="仿宋" w:hAnsi="仿宋" w:eastAsia="仿宋"/>
          <w:spacing w:val="-7"/>
          <w:w w:val="110"/>
          <w:sz w:val="28"/>
          <w:szCs w:val="28"/>
          <w:lang w:val="en-US" w:eastAsia="zh-CN"/>
        </w:rPr>
        <w:t>4</w:t>
      </w:r>
      <w:r>
        <w:rPr>
          <w:rFonts w:hint="eastAsia" w:ascii="仿宋" w:hAnsi="仿宋" w:eastAsia="仿宋"/>
          <w:spacing w:val="-7"/>
          <w:w w:val="110"/>
          <w:sz w:val="28"/>
          <w:szCs w:val="28"/>
        </w:rPr>
        <w:t>年西部综合开发研究会年会</w:t>
      </w:r>
      <w:r>
        <w:rPr>
          <w:rFonts w:hint="eastAsia" w:ascii="仿宋" w:hAnsi="仿宋" w:eastAsia="仿宋"/>
          <w:spacing w:val="-7"/>
          <w:w w:val="110"/>
          <w:sz w:val="28"/>
          <w:szCs w:val="28"/>
          <w:lang w:eastAsia="zh-CN"/>
        </w:rPr>
        <w:t>、乡村振兴暨武陵山区论坛、</w:t>
      </w:r>
      <w:r>
        <w:rPr>
          <w:rFonts w:hint="eastAsia" w:ascii="仿宋" w:hAnsi="仿宋" w:eastAsia="仿宋"/>
          <w:spacing w:val="-7"/>
          <w:w w:val="110"/>
          <w:sz w:val="28"/>
          <w:szCs w:val="28"/>
          <w:lang w:val="en-US" w:eastAsia="zh-CN"/>
        </w:rPr>
        <w:t>湖南省第十六届研究生创新论坛、湖南省管理科学学会年会、湖南省技术经济与管理现代化研究会、湖南省会计学科联盟会议年会等学术年会，</w:t>
      </w:r>
      <w:r>
        <w:rPr>
          <w:rFonts w:hint="eastAsia" w:ascii="仿宋" w:hAnsi="仿宋" w:eastAsia="仿宋"/>
          <w:spacing w:val="-7"/>
          <w:w w:val="110"/>
          <w:sz w:val="28"/>
          <w:szCs w:val="28"/>
        </w:rPr>
        <w:t>获优秀论文奖一、二、三等奖奖项共</w:t>
      </w:r>
      <w:r>
        <w:rPr>
          <w:rFonts w:hint="eastAsia" w:ascii="仿宋" w:hAnsi="仿宋" w:eastAsia="仿宋"/>
          <w:spacing w:val="-7"/>
          <w:w w:val="110"/>
          <w:sz w:val="28"/>
          <w:szCs w:val="28"/>
          <w:lang w:val="en-US" w:eastAsia="zh-CN"/>
        </w:rPr>
        <w:t>11</w:t>
      </w:r>
      <w:r>
        <w:rPr>
          <w:rFonts w:hint="eastAsia" w:ascii="仿宋" w:hAnsi="仿宋" w:eastAsia="仿宋"/>
          <w:color w:val="auto"/>
          <w:spacing w:val="-7"/>
          <w:w w:val="110"/>
          <w:sz w:val="28"/>
          <w:szCs w:val="28"/>
        </w:rPr>
        <w:t>项</w:t>
      </w:r>
      <w:r>
        <w:rPr>
          <w:rFonts w:hint="eastAsia" w:ascii="仿宋" w:hAnsi="仿宋" w:eastAsia="仿宋"/>
          <w:spacing w:val="-7"/>
          <w:w w:val="110"/>
          <w:sz w:val="28"/>
          <w:szCs w:val="28"/>
        </w:rPr>
        <w:t>。</w:t>
      </w:r>
    </w:p>
    <w:p w14:paraId="706E70AA">
      <w:pPr>
        <w:tabs>
          <w:tab w:val="left" w:pos="1260"/>
        </w:tabs>
        <w:snapToGrid w:val="0"/>
        <w:spacing w:line="360" w:lineRule="auto"/>
        <w:jc w:val="center"/>
        <w:rPr>
          <w:rFonts w:ascii="仿宋" w:hAnsi="仿宋" w:eastAsia="仿宋" w:cs="宋体"/>
          <w:color w:val="auto"/>
          <w:w w:val="115"/>
          <w:sz w:val="24"/>
          <w:szCs w:val="24"/>
        </w:rPr>
      </w:pPr>
      <w:r>
        <w:rPr>
          <w:rFonts w:hint="eastAsia" w:ascii="仿宋" w:hAnsi="仿宋" w:eastAsia="仿宋" w:cs="宋体"/>
          <w:color w:val="auto"/>
          <w:w w:val="115"/>
          <w:sz w:val="24"/>
          <w:szCs w:val="24"/>
        </w:rPr>
        <w:t>表</w:t>
      </w:r>
      <w:r>
        <w:rPr>
          <w:rFonts w:hint="eastAsia" w:ascii="仿宋" w:hAnsi="仿宋" w:eastAsia="仿宋" w:cs="宋体"/>
          <w:color w:val="auto"/>
          <w:w w:val="115"/>
          <w:sz w:val="24"/>
          <w:szCs w:val="24"/>
          <w:lang w:val="en-US" w:eastAsia="zh-CN"/>
        </w:rPr>
        <w:t>1</w:t>
      </w:r>
      <w:r>
        <w:rPr>
          <w:rFonts w:ascii="仿宋" w:hAnsi="仿宋" w:eastAsia="仿宋" w:cs="宋体"/>
          <w:color w:val="auto"/>
          <w:w w:val="115"/>
          <w:sz w:val="24"/>
          <w:szCs w:val="24"/>
        </w:rPr>
        <w:t xml:space="preserve"> </w:t>
      </w:r>
      <w:r>
        <w:rPr>
          <w:rFonts w:hint="eastAsia" w:ascii="仿宋" w:hAnsi="仿宋" w:eastAsia="仿宋" w:cs="宋体"/>
          <w:color w:val="auto"/>
          <w:w w:val="115"/>
          <w:sz w:val="24"/>
          <w:szCs w:val="24"/>
        </w:rPr>
        <w:t>202</w:t>
      </w:r>
      <w:r>
        <w:rPr>
          <w:rFonts w:hint="eastAsia" w:ascii="仿宋" w:hAnsi="仿宋" w:eastAsia="仿宋" w:cs="宋体"/>
          <w:color w:val="auto"/>
          <w:w w:val="115"/>
          <w:sz w:val="24"/>
          <w:szCs w:val="24"/>
          <w:lang w:val="en-US" w:eastAsia="zh-CN"/>
        </w:rPr>
        <w:t>4</w:t>
      </w:r>
      <w:r>
        <w:rPr>
          <w:rFonts w:hint="eastAsia" w:ascii="仿宋" w:hAnsi="仿宋" w:eastAsia="仿宋" w:cs="宋体"/>
          <w:color w:val="auto"/>
          <w:w w:val="115"/>
          <w:sz w:val="24"/>
          <w:szCs w:val="24"/>
        </w:rPr>
        <w:t>年</w:t>
      </w:r>
      <w:r>
        <w:rPr>
          <w:rFonts w:hint="eastAsia" w:ascii="仿宋" w:hAnsi="仿宋" w:eastAsia="仿宋" w:cs="宋体"/>
          <w:color w:val="auto"/>
          <w:w w:val="115"/>
          <w:sz w:val="24"/>
          <w:szCs w:val="24"/>
          <w:lang w:val="en-US" w:eastAsia="zh-CN"/>
        </w:rPr>
        <w:t>研究生科研</w:t>
      </w:r>
      <w:r>
        <w:rPr>
          <w:rFonts w:hint="eastAsia" w:ascii="仿宋" w:hAnsi="仿宋" w:eastAsia="仿宋" w:cs="宋体"/>
          <w:color w:val="auto"/>
          <w:w w:val="115"/>
          <w:sz w:val="24"/>
          <w:szCs w:val="24"/>
        </w:rPr>
        <w:t>论文获奖统计表</w:t>
      </w:r>
    </w:p>
    <w:tbl>
      <w:tblPr>
        <w:tblStyle w:val="14"/>
        <w:tblW w:w="8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2"/>
        <w:gridCol w:w="835"/>
        <w:gridCol w:w="2767"/>
        <w:gridCol w:w="1014"/>
        <w:gridCol w:w="943"/>
        <w:gridCol w:w="2343"/>
      </w:tblGrid>
      <w:tr w14:paraId="774C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62" w:type="dxa"/>
            <w:shd w:val="clear" w:color="auto" w:fill="auto"/>
            <w:noWrap/>
            <w:tcMar>
              <w:top w:w="15" w:type="dxa"/>
              <w:left w:w="15" w:type="dxa"/>
              <w:right w:w="15" w:type="dxa"/>
            </w:tcMar>
            <w:vAlign w:val="center"/>
          </w:tcPr>
          <w:p w14:paraId="40A2CB9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序号</w:t>
            </w:r>
          </w:p>
        </w:tc>
        <w:tc>
          <w:tcPr>
            <w:tcW w:w="835" w:type="dxa"/>
            <w:shd w:val="clear" w:color="auto" w:fill="auto"/>
            <w:noWrap/>
            <w:tcMar>
              <w:top w:w="15" w:type="dxa"/>
              <w:left w:w="15" w:type="dxa"/>
              <w:right w:w="15" w:type="dxa"/>
            </w:tcMar>
            <w:vAlign w:val="center"/>
          </w:tcPr>
          <w:p w14:paraId="5A5F6CB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姓名</w:t>
            </w:r>
          </w:p>
        </w:tc>
        <w:tc>
          <w:tcPr>
            <w:tcW w:w="2767" w:type="dxa"/>
            <w:shd w:val="clear" w:color="auto" w:fill="auto"/>
            <w:tcMar>
              <w:top w:w="15" w:type="dxa"/>
              <w:left w:w="15" w:type="dxa"/>
              <w:right w:w="15" w:type="dxa"/>
            </w:tcMar>
            <w:vAlign w:val="center"/>
          </w:tcPr>
          <w:p w14:paraId="2908AA3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获奖名称</w:t>
            </w:r>
          </w:p>
        </w:tc>
        <w:tc>
          <w:tcPr>
            <w:tcW w:w="1014" w:type="dxa"/>
            <w:shd w:val="clear" w:color="auto" w:fill="auto"/>
            <w:noWrap/>
            <w:tcMar>
              <w:top w:w="15" w:type="dxa"/>
              <w:left w:w="15" w:type="dxa"/>
              <w:right w:w="15" w:type="dxa"/>
            </w:tcMar>
            <w:vAlign w:val="center"/>
          </w:tcPr>
          <w:p w14:paraId="6F91A65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获奖等级</w:t>
            </w:r>
          </w:p>
        </w:tc>
        <w:tc>
          <w:tcPr>
            <w:tcW w:w="943" w:type="dxa"/>
            <w:shd w:val="clear" w:color="auto" w:fill="auto"/>
            <w:noWrap/>
            <w:tcMar>
              <w:top w:w="15" w:type="dxa"/>
              <w:left w:w="15" w:type="dxa"/>
              <w:right w:w="15" w:type="dxa"/>
            </w:tcMar>
            <w:vAlign w:val="center"/>
          </w:tcPr>
          <w:p w14:paraId="6FCB6346">
            <w:pPr>
              <w:keepNext w:val="0"/>
              <w:keepLines w:val="0"/>
              <w:pageBreakBefore w:val="0"/>
              <w:widowControl/>
              <w:suppressLineNumbers w:val="0"/>
              <w:kinsoku/>
              <w:wordWrap/>
              <w:overflowPunct/>
              <w:topLinePunct w:val="0"/>
              <w:autoSpaceDE/>
              <w:autoSpaceDN/>
              <w:bidi w:val="0"/>
              <w:adjustRightInd/>
              <w:snapToGrid/>
              <w:ind w:firstLine="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获奖时间</w:t>
            </w:r>
          </w:p>
        </w:tc>
        <w:tc>
          <w:tcPr>
            <w:tcW w:w="2343" w:type="dxa"/>
            <w:shd w:val="clear" w:color="auto" w:fill="auto"/>
            <w:tcMar>
              <w:top w:w="15" w:type="dxa"/>
              <w:left w:w="15" w:type="dxa"/>
              <w:right w:w="15" w:type="dxa"/>
            </w:tcMar>
            <w:vAlign w:val="center"/>
          </w:tcPr>
          <w:p w14:paraId="6485951F">
            <w:pPr>
              <w:keepNext w:val="0"/>
              <w:keepLines w:val="0"/>
              <w:pageBreakBefore w:val="0"/>
              <w:widowControl/>
              <w:suppressLineNumbers w:val="0"/>
              <w:kinsoku/>
              <w:wordWrap/>
              <w:overflowPunct/>
              <w:topLinePunct w:val="0"/>
              <w:autoSpaceDE/>
              <w:autoSpaceDN/>
              <w:bidi w:val="0"/>
              <w:adjustRightInd/>
              <w:snapToGrid/>
              <w:ind w:firstLine="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主办单位</w:t>
            </w:r>
          </w:p>
        </w:tc>
      </w:tr>
      <w:tr w14:paraId="3D04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62" w:type="dxa"/>
            <w:shd w:val="clear" w:color="auto" w:fill="auto"/>
            <w:noWrap/>
            <w:tcMar>
              <w:top w:w="15" w:type="dxa"/>
              <w:left w:w="15" w:type="dxa"/>
              <w:right w:w="15" w:type="dxa"/>
            </w:tcMar>
            <w:vAlign w:val="center"/>
          </w:tcPr>
          <w:p w14:paraId="301B3F1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835" w:type="dxa"/>
            <w:shd w:val="clear" w:color="auto" w:fill="auto"/>
            <w:noWrap/>
            <w:tcMar>
              <w:top w:w="15" w:type="dxa"/>
              <w:left w:w="15" w:type="dxa"/>
              <w:right w:w="15" w:type="dxa"/>
            </w:tcMar>
            <w:vAlign w:val="center"/>
          </w:tcPr>
          <w:p w14:paraId="1910358A">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童子萍</w:t>
            </w:r>
          </w:p>
        </w:tc>
        <w:tc>
          <w:tcPr>
            <w:tcW w:w="2767" w:type="dxa"/>
            <w:shd w:val="clear" w:color="auto" w:fill="auto"/>
            <w:tcMar>
              <w:top w:w="15" w:type="dxa"/>
              <w:left w:w="15" w:type="dxa"/>
              <w:right w:w="15" w:type="dxa"/>
            </w:tcMar>
            <w:vAlign w:val="center"/>
          </w:tcPr>
          <w:p w14:paraId="23EEBDD8">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湖南省西部综合开发研究会</w:t>
            </w:r>
          </w:p>
        </w:tc>
        <w:tc>
          <w:tcPr>
            <w:tcW w:w="1014" w:type="dxa"/>
            <w:shd w:val="clear" w:color="auto" w:fill="auto"/>
            <w:noWrap/>
            <w:tcMar>
              <w:top w:w="15" w:type="dxa"/>
              <w:left w:w="15" w:type="dxa"/>
              <w:right w:w="15" w:type="dxa"/>
            </w:tcMar>
            <w:vAlign w:val="center"/>
          </w:tcPr>
          <w:p w14:paraId="13ADBCE2">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二等奖</w:t>
            </w:r>
          </w:p>
        </w:tc>
        <w:tc>
          <w:tcPr>
            <w:tcW w:w="943" w:type="dxa"/>
            <w:shd w:val="clear" w:color="auto" w:fill="auto"/>
            <w:noWrap/>
            <w:tcMar>
              <w:top w:w="15" w:type="dxa"/>
              <w:left w:w="15" w:type="dxa"/>
              <w:right w:w="15" w:type="dxa"/>
            </w:tcMar>
            <w:vAlign w:val="center"/>
          </w:tcPr>
          <w:p w14:paraId="6F099E04">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2024.11</w:t>
            </w:r>
          </w:p>
        </w:tc>
        <w:tc>
          <w:tcPr>
            <w:tcW w:w="2343" w:type="dxa"/>
            <w:shd w:val="clear" w:color="auto" w:fill="auto"/>
            <w:tcMar>
              <w:top w:w="15" w:type="dxa"/>
              <w:left w:w="15" w:type="dxa"/>
              <w:right w:w="15" w:type="dxa"/>
            </w:tcMar>
            <w:vAlign w:val="center"/>
          </w:tcPr>
          <w:p w14:paraId="527CCDCC">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湖南省西部综合开发研究会</w:t>
            </w:r>
          </w:p>
        </w:tc>
      </w:tr>
      <w:tr w14:paraId="37D09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62" w:type="dxa"/>
            <w:shd w:val="clear" w:color="auto" w:fill="auto"/>
            <w:noWrap/>
            <w:tcMar>
              <w:top w:w="15" w:type="dxa"/>
              <w:left w:w="15" w:type="dxa"/>
              <w:right w:w="15" w:type="dxa"/>
            </w:tcMar>
            <w:vAlign w:val="center"/>
          </w:tcPr>
          <w:p w14:paraId="3089C4D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835" w:type="dxa"/>
            <w:shd w:val="clear" w:color="auto" w:fill="auto"/>
            <w:noWrap/>
            <w:tcMar>
              <w:top w:w="15" w:type="dxa"/>
              <w:left w:w="15" w:type="dxa"/>
              <w:right w:w="15" w:type="dxa"/>
            </w:tcMar>
            <w:vAlign w:val="center"/>
          </w:tcPr>
          <w:p w14:paraId="3663A772">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董淑鑫</w:t>
            </w:r>
          </w:p>
        </w:tc>
        <w:tc>
          <w:tcPr>
            <w:tcW w:w="2767" w:type="dxa"/>
            <w:shd w:val="clear" w:color="auto" w:fill="auto"/>
            <w:tcMar>
              <w:top w:w="15" w:type="dxa"/>
              <w:left w:w="15" w:type="dxa"/>
              <w:right w:w="15" w:type="dxa"/>
            </w:tcMar>
            <w:vAlign w:val="center"/>
          </w:tcPr>
          <w:p w14:paraId="3BCC0354">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湖南省技术经济与管理现代化研究会</w:t>
            </w:r>
          </w:p>
        </w:tc>
        <w:tc>
          <w:tcPr>
            <w:tcW w:w="1014" w:type="dxa"/>
            <w:shd w:val="clear" w:color="auto" w:fill="auto"/>
            <w:noWrap/>
            <w:tcMar>
              <w:top w:w="15" w:type="dxa"/>
              <w:left w:w="15" w:type="dxa"/>
              <w:right w:w="15" w:type="dxa"/>
            </w:tcMar>
            <w:vAlign w:val="center"/>
          </w:tcPr>
          <w:p w14:paraId="3AC2CD5D">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二等奖</w:t>
            </w:r>
          </w:p>
        </w:tc>
        <w:tc>
          <w:tcPr>
            <w:tcW w:w="943" w:type="dxa"/>
            <w:shd w:val="clear" w:color="auto" w:fill="auto"/>
            <w:noWrap/>
            <w:tcMar>
              <w:top w:w="15" w:type="dxa"/>
              <w:left w:w="15" w:type="dxa"/>
              <w:right w:w="15" w:type="dxa"/>
            </w:tcMar>
            <w:vAlign w:val="center"/>
          </w:tcPr>
          <w:p w14:paraId="1DD07B63">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2024.12</w:t>
            </w:r>
          </w:p>
        </w:tc>
        <w:tc>
          <w:tcPr>
            <w:tcW w:w="2343" w:type="dxa"/>
            <w:shd w:val="clear" w:color="auto" w:fill="auto"/>
            <w:tcMar>
              <w:top w:w="15" w:type="dxa"/>
              <w:left w:w="15" w:type="dxa"/>
              <w:right w:w="15" w:type="dxa"/>
            </w:tcMar>
            <w:vAlign w:val="center"/>
          </w:tcPr>
          <w:p w14:paraId="581C7D95">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湖南省技术经济与管理现代化研究会</w:t>
            </w:r>
          </w:p>
        </w:tc>
      </w:tr>
      <w:tr w14:paraId="40B9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62" w:type="dxa"/>
            <w:shd w:val="clear" w:color="auto" w:fill="auto"/>
            <w:vAlign w:val="center"/>
          </w:tcPr>
          <w:p w14:paraId="26ECA36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835" w:type="dxa"/>
            <w:shd w:val="clear" w:color="auto" w:fill="auto"/>
            <w:vAlign w:val="center"/>
          </w:tcPr>
          <w:p w14:paraId="5992CCF2">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徐佳乐</w:t>
            </w:r>
          </w:p>
        </w:tc>
        <w:tc>
          <w:tcPr>
            <w:tcW w:w="2767" w:type="dxa"/>
            <w:shd w:val="clear" w:color="auto" w:fill="auto"/>
            <w:vAlign w:val="center"/>
          </w:tcPr>
          <w:p w14:paraId="5F449265">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湖南省技术经济与管理现代化研究会</w:t>
            </w:r>
          </w:p>
        </w:tc>
        <w:tc>
          <w:tcPr>
            <w:tcW w:w="1014" w:type="dxa"/>
            <w:shd w:val="clear" w:color="auto" w:fill="auto"/>
            <w:vAlign w:val="center"/>
          </w:tcPr>
          <w:p w14:paraId="31AD874F">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二等奖</w:t>
            </w:r>
          </w:p>
        </w:tc>
        <w:tc>
          <w:tcPr>
            <w:tcW w:w="943" w:type="dxa"/>
            <w:shd w:val="clear" w:color="auto" w:fill="auto"/>
            <w:vAlign w:val="center"/>
          </w:tcPr>
          <w:p w14:paraId="63026E40">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2024.12</w:t>
            </w:r>
          </w:p>
        </w:tc>
        <w:tc>
          <w:tcPr>
            <w:tcW w:w="2343" w:type="dxa"/>
            <w:shd w:val="clear" w:color="auto" w:fill="auto"/>
            <w:vAlign w:val="center"/>
          </w:tcPr>
          <w:p w14:paraId="657841FE">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湖南省技术经济与管理现代化研究会</w:t>
            </w:r>
          </w:p>
        </w:tc>
      </w:tr>
      <w:tr w14:paraId="63146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62" w:type="dxa"/>
            <w:shd w:val="clear" w:color="auto" w:fill="auto"/>
            <w:vAlign w:val="center"/>
          </w:tcPr>
          <w:p w14:paraId="09758D3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835" w:type="dxa"/>
            <w:shd w:val="clear" w:color="auto" w:fill="auto"/>
            <w:vAlign w:val="center"/>
          </w:tcPr>
          <w:p w14:paraId="53DD96D3">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张小烨</w:t>
            </w:r>
          </w:p>
        </w:tc>
        <w:tc>
          <w:tcPr>
            <w:tcW w:w="2767" w:type="dxa"/>
            <w:shd w:val="clear" w:color="auto" w:fill="auto"/>
            <w:vAlign w:val="center"/>
          </w:tcPr>
          <w:p w14:paraId="7CB104A4">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湖南省技术经济与管理现代化研究会</w:t>
            </w:r>
          </w:p>
        </w:tc>
        <w:tc>
          <w:tcPr>
            <w:tcW w:w="1014" w:type="dxa"/>
            <w:shd w:val="clear" w:color="auto" w:fill="auto"/>
            <w:vAlign w:val="center"/>
          </w:tcPr>
          <w:p w14:paraId="3CE418F5">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二等奖</w:t>
            </w:r>
          </w:p>
        </w:tc>
        <w:tc>
          <w:tcPr>
            <w:tcW w:w="943" w:type="dxa"/>
            <w:shd w:val="clear" w:color="auto" w:fill="auto"/>
            <w:vAlign w:val="center"/>
          </w:tcPr>
          <w:p w14:paraId="229B65D2">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2024.12</w:t>
            </w:r>
          </w:p>
        </w:tc>
        <w:tc>
          <w:tcPr>
            <w:tcW w:w="2343" w:type="dxa"/>
            <w:shd w:val="clear" w:color="auto" w:fill="auto"/>
            <w:vAlign w:val="center"/>
          </w:tcPr>
          <w:p w14:paraId="304326EA">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湖南省技术经济与管理现代化研究会</w:t>
            </w:r>
          </w:p>
        </w:tc>
      </w:tr>
      <w:tr w14:paraId="0A862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62" w:type="dxa"/>
            <w:shd w:val="clear" w:color="auto" w:fill="auto"/>
            <w:vAlign w:val="center"/>
          </w:tcPr>
          <w:p w14:paraId="73E4F46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835" w:type="dxa"/>
            <w:shd w:val="clear" w:color="auto" w:fill="auto"/>
            <w:vAlign w:val="center"/>
          </w:tcPr>
          <w:p w14:paraId="2AE28534">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张小烨</w:t>
            </w:r>
          </w:p>
        </w:tc>
        <w:tc>
          <w:tcPr>
            <w:tcW w:w="2767" w:type="dxa"/>
            <w:shd w:val="clear" w:color="auto" w:fill="auto"/>
            <w:vAlign w:val="center"/>
          </w:tcPr>
          <w:p w14:paraId="5240E8B5">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湖南省会计学科联盟第十次年会征文</w:t>
            </w:r>
          </w:p>
        </w:tc>
        <w:tc>
          <w:tcPr>
            <w:tcW w:w="1014" w:type="dxa"/>
            <w:shd w:val="clear" w:color="auto" w:fill="auto"/>
            <w:vAlign w:val="center"/>
          </w:tcPr>
          <w:p w14:paraId="468E2511">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二等奖</w:t>
            </w:r>
          </w:p>
        </w:tc>
        <w:tc>
          <w:tcPr>
            <w:tcW w:w="943" w:type="dxa"/>
            <w:shd w:val="clear" w:color="auto" w:fill="auto"/>
            <w:vAlign w:val="center"/>
          </w:tcPr>
          <w:p w14:paraId="0FD2489A">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2024.12</w:t>
            </w:r>
          </w:p>
        </w:tc>
        <w:tc>
          <w:tcPr>
            <w:tcW w:w="2343" w:type="dxa"/>
            <w:shd w:val="clear" w:color="auto" w:fill="auto"/>
            <w:vAlign w:val="center"/>
          </w:tcPr>
          <w:p w14:paraId="1771A988">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湖南省会计学科联盟</w:t>
            </w:r>
          </w:p>
        </w:tc>
      </w:tr>
      <w:tr w14:paraId="0FECF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62" w:type="dxa"/>
            <w:shd w:val="clear" w:color="auto" w:fill="auto"/>
            <w:vAlign w:val="center"/>
          </w:tcPr>
          <w:p w14:paraId="489E1F1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835" w:type="dxa"/>
            <w:shd w:val="clear" w:color="auto" w:fill="auto"/>
            <w:vAlign w:val="center"/>
          </w:tcPr>
          <w:p w14:paraId="47E47CD4">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童子萍</w:t>
            </w:r>
          </w:p>
        </w:tc>
        <w:tc>
          <w:tcPr>
            <w:tcW w:w="2767" w:type="dxa"/>
            <w:shd w:val="clear" w:color="auto" w:fill="auto"/>
            <w:vAlign w:val="center"/>
          </w:tcPr>
          <w:p w14:paraId="7E5C67E7">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陕西省社科界理论研讨会</w:t>
            </w:r>
          </w:p>
        </w:tc>
        <w:tc>
          <w:tcPr>
            <w:tcW w:w="1014" w:type="dxa"/>
            <w:shd w:val="clear" w:color="auto" w:fill="auto"/>
            <w:vAlign w:val="center"/>
          </w:tcPr>
          <w:p w14:paraId="1D94E348">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三等奖</w:t>
            </w:r>
          </w:p>
        </w:tc>
        <w:tc>
          <w:tcPr>
            <w:tcW w:w="943" w:type="dxa"/>
            <w:shd w:val="clear" w:color="auto" w:fill="auto"/>
            <w:vAlign w:val="center"/>
          </w:tcPr>
          <w:p w14:paraId="4101198C">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2024.6</w:t>
            </w:r>
          </w:p>
        </w:tc>
        <w:tc>
          <w:tcPr>
            <w:tcW w:w="2343" w:type="dxa"/>
            <w:shd w:val="clear" w:color="auto" w:fill="auto"/>
            <w:vAlign w:val="center"/>
          </w:tcPr>
          <w:p w14:paraId="55260DEB">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陕西省社科界</w:t>
            </w:r>
          </w:p>
        </w:tc>
      </w:tr>
      <w:tr w14:paraId="5853D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62" w:type="dxa"/>
            <w:shd w:val="clear" w:color="auto" w:fill="auto"/>
            <w:vAlign w:val="center"/>
          </w:tcPr>
          <w:p w14:paraId="6AF8DE7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835" w:type="dxa"/>
            <w:shd w:val="clear" w:color="auto" w:fill="auto"/>
            <w:vAlign w:val="center"/>
          </w:tcPr>
          <w:p w14:paraId="2FF0DE4A">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陈晓</w:t>
            </w:r>
          </w:p>
        </w:tc>
        <w:tc>
          <w:tcPr>
            <w:tcW w:w="2767" w:type="dxa"/>
            <w:shd w:val="clear" w:color="auto" w:fill="auto"/>
            <w:vAlign w:val="center"/>
          </w:tcPr>
          <w:p w14:paraId="6CDA769A">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湖南省西部综合开发研究会优秀论文</w:t>
            </w:r>
          </w:p>
        </w:tc>
        <w:tc>
          <w:tcPr>
            <w:tcW w:w="1014" w:type="dxa"/>
            <w:shd w:val="clear" w:color="auto" w:fill="auto"/>
            <w:vAlign w:val="center"/>
          </w:tcPr>
          <w:p w14:paraId="72806C26">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三等奖</w:t>
            </w:r>
          </w:p>
        </w:tc>
        <w:tc>
          <w:tcPr>
            <w:tcW w:w="943" w:type="dxa"/>
            <w:shd w:val="clear" w:color="auto" w:fill="auto"/>
            <w:vAlign w:val="center"/>
          </w:tcPr>
          <w:p w14:paraId="646BD448">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2024.11</w:t>
            </w:r>
          </w:p>
        </w:tc>
        <w:tc>
          <w:tcPr>
            <w:tcW w:w="2343" w:type="dxa"/>
            <w:shd w:val="clear" w:color="auto" w:fill="auto"/>
            <w:vAlign w:val="center"/>
          </w:tcPr>
          <w:p w14:paraId="01014C68">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湖南省西部综合开发研究会</w:t>
            </w:r>
          </w:p>
        </w:tc>
      </w:tr>
      <w:tr w14:paraId="4469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62" w:type="dxa"/>
            <w:shd w:val="clear" w:color="auto" w:fill="auto"/>
            <w:vAlign w:val="center"/>
          </w:tcPr>
          <w:p w14:paraId="197F021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835" w:type="dxa"/>
            <w:shd w:val="clear" w:color="auto" w:fill="auto"/>
            <w:vAlign w:val="center"/>
          </w:tcPr>
          <w:p w14:paraId="1A82A2E6">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仲伟佳</w:t>
            </w:r>
          </w:p>
        </w:tc>
        <w:tc>
          <w:tcPr>
            <w:tcW w:w="2767" w:type="dxa"/>
            <w:shd w:val="clear" w:color="auto" w:fill="auto"/>
            <w:vAlign w:val="center"/>
          </w:tcPr>
          <w:p w14:paraId="3597096E">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湖南省第十七届研究生创新论坛“文旅深度融合与区域高质量发展”分论坛征文</w:t>
            </w:r>
          </w:p>
        </w:tc>
        <w:tc>
          <w:tcPr>
            <w:tcW w:w="1014" w:type="dxa"/>
            <w:shd w:val="clear" w:color="auto" w:fill="auto"/>
            <w:vAlign w:val="center"/>
          </w:tcPr>
          <w:p w14:paraId="6F277FE6">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三等奖</w:t>
            </w:r>
          </w:p>
        </w:tc>
        <w:tc>
          <w:tcPr>
            <w:tcW w:w="943" w:type="dxa"/>
            <w:shd w:val="clear" w:color="auto" w:fill="auto"/>
            <w:vAlign w:val="center"/>
          </w:tcPr>
          <w:p w14:paraId="1FFBB57C">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2024.11</w:t>
            </w:r>
          </w:p>
        </w:tc>
        <w:tc>
          <w:tcPr>
            <w:tcW w:w="2343" w:type="dxa"/>
            <w:shd w:val="clear" w:color="auto" w:fill="auto"/>
            <w:vAlign w:val="center"/>
          </w:tcPr>
          <w:p w14:paraId="771D1EFB">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吉首大学</w:t>
            </w:r>
          </w:p>
        </w:tc>
      </w:tr>
      <w:tr w14:paraId="2D7F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62" w:type="dxa"/>
            <w:shd w:val="clear" w:color="auto" w:fill="auto"/>
            <w:vAlign w:val="center"/>
          </w:tcPr>
          <w:p w14:paraId="6BBD254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835" w:type="dxa"/>
            <w:shd w:val="clear" w:color="auto" w:fill="auto"/>
            <w:vAlign w:val="center"/>
          </w:tcPr>
          <w:p w14:paraId="3DDA8867">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董淑鑫</w:t>
            </w:r>
          </w:p>
        </w:tc>
        <w:tc>
          <w:tcPr>
            <w:tcW w:w="2767" w:type="dxa"/>
            <w:shd w:val="clear" w:color="auto" w:fill="auto"/>
            <w:vAlign w:val="center"/>
          </w:tcPr>
          <w:p w14:paraId="406F42B2">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第十五届中国创新与企业成长（CI＆G）学术年会</w:t>
            </w:r>
          </w:p>
        </w:tc>
        <w:tc>
          <w:tcPr>
            <w:tcW w:w="1014" w:type="dxa"/>
            <w:shd w:val="clear" w:color="auto" w:fill="auto"/>
            <w:vAlign w:val="center"/>
          </w:tcPr>
          <w:p w14:paraId="3913751A">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三等奖</w:t>
            </w:r>
          </w:p>
        </w:tc>
        <w:tc>
          <w:tcPr>
            <w:tcW w:w="943" w:type="dxa"/>
            <w:shd w:val="clear" w:color="auto" w:fill="auto"/>
            <w:vAlign w:val="center"/>
          </w:tcPr>
          <w:p w14:paraId="7983F3D0">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2024.11</w:t>
            </w:r>
          </w:p>
        </w:tc>
        <w:tc>
          <w:tcPr>
            <w:tcW w:w="2343" w:type="dxa"/>
            <w:shd w:val="clear" w:color="auto" w:fill="auto"/>
            <w:vAlign w:val="center"/>
          </w:tcPr>
          <w:p w14:paraId="22DAE750">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中国技术经济学会创新与创业分会</w:t>
            </w:r>
          </w:p>
        </w:tc>
      </w:tr>
      <w:tr w14:paraId="2F24E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62" w:type="dxa"/>
            <w:shd w:val="clear" w:color="auto" w:fill="auto"/>
            <w:vAlign w:val="center"/>
          </w:tcPr>
          <w:p w14:paraId="22062B0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835" w:type="dxa"/>
            <w:shd w:val="clear" w:color="auto" w:fill="auto"/>
            <w:vAlign w:val="center"/>
          </w:tcPr>
          <w:p w14:paraId="13DC98C0">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仲佳伟</w:t>
            </w:r>
          </w:p>
        </w:tc>
        <w:tc>
          <w:tcPr>
            <w:tcW w:w="2767" w:type="dxa"/>
            <w:shd w:val="clear" w:color="auto" w:fill="auto"/>
            <w:vAlign w:val="center"/>
          </w:tcPr>
          <w:p w14:paraId="68B3BD40">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湖南省技术经济与管理现代化研究会</w:t>
            </w:r>
          </w:p>
        </w:tc>
        <w:tc>
          <w:tcPr>
            <w:tcW w:w="1014" w:type="dxa"/>
            <w:shd w:val="clear" w:color="auto" w:fill="auto"/>
            <w:vAlign w:val="center"/>
          </w:tcPr>
          <w:p w14:paraId="4AEF03A6">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三等奖</w:t>
            </w:r>
          </w:p>
        </w:tc>
        <w:tc>
          <w:tcPr>
            <w:tcW w:w="943" w:type="dxa"/>
            <w:shd w:val="clear" w:color="auto" w:fill="auto"/>
            <w:vAlign w:val="center"/>
          </w:tcPr>
          <w:p w14:paraId="35E2183D">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2024.12</w:t>
            </w:r>
          </w:p>
        </w:tc>
        <w:tc>
          <w:tcPr>
            <w:tcW w:w="2343" w:type="dxa"/>
            <w:shd w:val="clear" w:color="auto" w:fill="auto"/>
            <w:vAlign w:val="center"/>
          </w:tcPr>
          <w:p w14:paraId="12A79D60">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湖南省技术经济与管理现代化研究会</w:t>
            </w:r>
          </w:p>
        </w:tc>
      </w:tr>
      <w:tr w14:paraId="2DCF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62" w:type="dxa"/>
            <w:shd w:val="clear" w:color="auto" w:fill="auto"/>
            <w:vAlign w:val="center"/>
          </w:tcPr>
          <w:p w14:paraId="1AF39B9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835" w:type="dxa"/>
            <w:shd w:val="clear" w:color="auto" w:fill="auto"/>
            <w:vAlign w:val="center"/>
          </w:tcPr>
          <w:p w14:paraId="253C1FAA">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刘倩</w:t>
            </w:r>
          </w:p>
        </w:tc>
        <w:tc>
          <w:tcPr>
            <w:tcW w:w="2767" w:type="dxa"/>
            <w:shd w:val="clear" w:color="auto" w:fill="auto"/>
            <w:vAlign w:val="center"/>
          </w:tcPr>
          <w:p w14:paraId="2E804F3E">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湖南省会计学科联盟第十次年会征文</w:t>
            </w:r>
          </w:p>
        </w:tc>
        <w:tc>
          <w:tcPr>
            <w:tcW w:w="1014" w:type="dxa"/>
            <w:shd w:val="clear" w:color="auto" w:fill="auto"/>
            <w:vAlign w:val="center"/>
          </w:tcPr>
          <w:p w14:paraId="08CF020A">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三等奖</w:t>
            </w:r>
          </w:p>
        </w:tc>
        <w:tc>
          <w:tcPr>
            <w:tcW w:w="943" w:type="dxa"/>
            <w:shd w:val="clear" w:color="auto" w:fill="auto"/>
            <w:vAlign w:val="center"/>
          </w:tcPr>
          <w:p w14:paraId="69C4C758">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2024.12</w:t>
            </w:r>
          </w:p>
        </w:tc>
        <w:tc>
          <w:tcPr>
            <w:tcW w:w="2343" w:type="dxa"/>
            <w:shd w:val="clear" w:color="auto" w:fill="auto"/>
            <w:vAlign w:val="center"/>
          </w:tcPr>
          <w:p w14:paraId="142A3CBD">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湖南省会计学科联盟</w:t>
            </w:r>
          </w:p>
        </w:tc>
      </w:tr>
    </w:tbl>
    <w:p w14:paraId="7AD365C6">
      <w:pPr>
        <w:pStyle w:val="6"/>
        <w:snapToGrid w:val="0"/>
        <w:spacing w:before="0" w:after="0" w:line="360" w:lineRule="auto"/>
        <w:ind w:firstLine="662" w:firstLineChars="200"/>
        <w:rPr>
          <w:rFonts w:ascii="仿宋" w:hAnsi="仿宋" w:eastAsia="仿宋"/>
          <w:w w:val="110"/>
          <w:sz w:val="30"/>
          <w:szCs w:val="30"/>
        </w:rPr>
      </w:pPr>
      <w:r>
        <w:rPr>
          <w:rFonts w:hint="eastAsia" w:ascii="仿宋" w:hAnsi="仿宋" w:eastAsia="仿宋"/>
          <w:w w:val="110"/>
          <w:sz w:val="30"/>
          <w:szCs w:val="30"/>
        </w:rPr>
        <w:t>5.学术交流情况</w:t>
      </w:r>
      <w:bookmarkEnd w:id="30"/>
    </w:p>
    <w:bookmarkEnd w:id="31"/>
    <w:p w14:paraId="36082BA6">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本年度共举办、承办、参加了2024年中国区域经济学会年会暨新质生产力推动区域高质量发展学术研讨会、教育部马工程重点教材《西方经济学》教学交流会、湖南省西部综合开发研究会、</w:t>
      </w:r>
      <w:r>
        <w:rPr>
          <w:rFonts w:hint="eastAsia" w:ascii="仿宋" w:hAnsi="仿宋" w:eastAsia="仿宋"/>
          <w:spacing w:val="-7"/>
          <w:w w:val="110"/>
          <w:sz w:val="28"/>
          <w:szCs w:val="28"/>
          <w:lang w:val="en-US" w:eastAsia="zh-CN"/>
        </w:rPr>
        <w:t>湖南省技术经济与管理现代化研究会、湖南省会计学科联盟</w:t>
      </w:r>
      <w:r>
        <w:rPr>
          <w:rFonts w:hint="eastAsia" w:ascii="仿宋" w:hAnsi="仿宋" w:eastAsia="仿宋" w:cs="仿宋"/>
          <w:sz w:val="28"/>
          <w:szCs w:val="28"/>
          <w:lang w:val="en-US" w:eastAsia="zh-CN"/>
        </w:rPr>
        <w:t>年会</w:t>
      </w:r>
      <w:r>
        <w:rPr>
          <w:rFonts w:hint="eastAsia" w:ascii="仿宋" w:hAnsi="仿宋" w:eastAsia="仿宋" w:cs="仿宋"/>
          <w:sz w:val="28"/>
          <w:szCs w:val="28"/>
        </w:rPr>
        <w:t>等10余项国际、国内学术会议。并在会议上做了《中国省域数字农业新质生产力发展的格局演变及其驱动因子》《数字化场景营造对游客价值共创行为的影响机制研究》《中国省域数字农业新质生产力发展的格局演变及其驱动因子》等主题报告。</w:t>
      </w:r>
    </w:p>
    <w:p w14:paraId="727F588B">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学位点进一步创新宣传方式，通过“研经商思”微信公众号，及时推送学术讲座信息、分享学术研究成果、争鸣学术热点、交流学术研究心得、宣传学术达人。同时，借助学院、武陵山片区扶贫与发展协同创新中心网站平台，定期报道研究生学术沙龙动态，积极营造浓厚的学术氛围。通过一年来的努力，学位点研究生学术研究氛围进一步提升。</w:t>
      </w:r>
    </w:p>
    <w:p w14:paraId="1A74B327">
      <w:pPr>
        <w:pStyle w:val="6"/>
        <w:snapToGrid w:val="0"/>
        <w:spacing w:before="0" w:after="0" w:line="360" w:lineRule="auto"/>
        <w:ind w:firstLine="662" w:firstLineChars="200"/>
        <w:rPr>
          <w:rFonts w:ascii="仿宋" w:hAnsi="仿宋" w:eastAsia="仿宋"/>
          <w:w w:val="110"/>
          <w:sz w:val="30"/>
          <w:szCs w:val="30"/>
        </w:rPr>
      </w:pPr>
      <w:bookmarkStart w:id="32" w:name="_Toc92275548"/>
      <w:bookmarkStart w:id="33" w:name="_Hlk92202414"/>
      <w:r>
        <w:rPr>
          <w:rFonts w:hint="eastAsia" w:ascii="仿宋" w:hAnsi="仿宋" w:eastAsia="仿宋"/>
          <w:w w:val="110"/>
          <w:sz w:val="30"/>
          <w:szCs w:val="30"/>
        </w:rPr>
        <w:t>6. 研究生奖助情况</w:t>
      </w:r>
      <w:bookmarkEnd w:id="32"/>
      <w:bookmarkEnd w:id="33"/>
    </w:p>
    <w:p w14:paraId="0A098CF4">
      <w:pPr>
        <w:snapToGrid w:val="0"/>
        <w:spacing w:line="360" w:lineRule="auto"/>
        <w:ind w:firstLine="560" w:firstLineChars="200"/>
        <w:rPr>
          <w:rFonts w:ascii="仿宋" w:hAnsi="仿宋" w:eastAsia="仿宋" w:cs="仿宋"/>
          <w:sz w:val="30"/>
          <w:szCs w:val="30"/>
        </w:rPr>
      </w:pPr>
      <w:r>
        <w:rPr>
          <w:rFonts w:hint="eastAsia" w:ascii="仿宋" w:hAnsi="仿宋" w:eastAsia="仿宋" w:cs="仿宋"/>
          <w:sz w:val="28"/>
          <w:szCs w:val="28"/>
        </w:rPr>
        <w:t xml:space="preserve">本年度共组织了研究生国家奖学金、学业奖学金、国家助学金、研究生三好学生、优秀研究生干部、优秀硕士学位论文、芙蓉学子、校园之星、“金瑞优”奖学金、等各项评奖评优工作。各项评奖评优均做到了公平、公正、公开、按程序、守时间完成。 </w:t>
      </w:r>
    </w:p>
    <w:p w14:paraId="2B711F72">
      <w:pPr>
        <w:pStyle w:val="5"/>
        <w:snapToGrid w:val="0"/>
        <w:spacing w:before="0" w:after="0" w:line="360" w:lineRule="auto"/>
        <w:rPr>
          <w:rFonts w:ascii="黑体" w:hAnsi="黑体" w:eastAsia="黑体"/>
          <w:b w:val="0"/>
          <w:bCs w:val="0"/>
        </w:rPr>
      </w:pPr>
      <w:bookmarkStart w:id="34" w:name="_Toc92275549"/>
      <w:r>
        <w:rPr>
          <w:rFonts w:hint="eastAsia" w:ascii="黑体" w:hAnsi="黑体" w:eastAsia="黑体"/>
          <w:b w:val="0"/>
          <w:bCs w:val="0"/>
        </w:rPr>
        <w:t>四、研究生教育改革情况</w:t>
      </w:r>
      <w:bookmarkEnd w:id="34"/>
    </w:p>
    <w:p w14:paraId="2DD011BC">
      <w:pPr>
        <w:pStyle w:val="6"/>
        <w:snapToGrid w:val="0"/>
        <w:spacing w:before="0" w:after="0" w:line="360" w:lineRule="auto"/>
        <w:ind w:firstLine="662" w:firstLineChars="200"/>
        <w:rPr>
          <w:rFonts w:ascii="仿宋" w:hAnsi="仿宋" w:eastAsia="仿宋"/>
          <w:w w:val="110"/>
          <w:sz w:val="30"/>
          <w:szCs w:val="30"/>
        </w:rPr>
      </w:pPr>
      <w:bookmarkStart w:id="35" w:name="_Toc92275550"/>
      <w:bookmarkStart w:id="36" w:name="_Hlk92202473"/>
      <w:r>
        <w:rPr>
          <w:rFonts w:ascii="仿宋" w:hAnsi="仿宋" w:eastAsia="仿宋"/>
          <w:w w:val="110"/>
          <w:sz w:val="30"/>
          <w:szCs w:val="30"/>
        </w:rPr>
        <w:t>1.</w:t>
      </w:r>
      <w:r>
        <w:rPr>
          <w:rFonts w:hint="eastAsia" w:ascii="仿宋" w:hAnsi="仿宋" w:eastAsia="仿宋"/>
          <w:w w:val="110"/>
          <w:sz w:val="30"/>
          <w:szCs w:val="30"/>
        </w:rPr>
        <w:t>人才培养情况</w:t>
      </w:r>
      <w:bookmarkEnd w:id="35"/>
    </w:p>
    <w:bookmarkEnd w:id="36"/>
    <w:p w14:paraId="4608534C">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202</w:t>
      </w:r>
      <w:r>
        <w:rPr>
          <w:rFonts w:ascii="仿宋" w:hAnsi="仿宋" w:eastAsia="仿宋" w:cs="仿宋"/>
          <w:sz w:val="28"/>
          <w:szCs w:val="28"/>
        </w:rPr>
        <w:t>4</w:t>
      </w:r>
      <w:r>
        <w:rPr>
          <w:rFonts w:hint="eastAsia" w:ascii="仿宋" w:hAnsi="仿宋" w:eastAsia="仿宋" w:cs="仿宋"/>
          <w:sz w:val="28"/>
          <w:szCs w:val="28"/>
        </w:rPr>
        <w:t>级研究生入学后及时召开了导师和研究生的见面会，落实每个研究生的导师，并推荐了校外导师。强化学术训练平台建设，支持导师之间组建导师组，强化学术研究和人才培养的沟通交流。</w:t>
      </w:r>
      <w:r>
        <w:rPr>
          <w:rFonts w:hint="eastAsia" w:ascii="仿宋" w:hAnsi="仿宋" w:eastAsia="仿宋" w:cs="仿宋"/>
          <w:sz w:val="28"/>
          <w:szCs w:val="28"/>
          <w:lang w:val="en-US" w:eastAsia="zh-CN"/>
        </w:rPr>
        <w:t>学生</w:t>
      </w:r>
      <w:r>
        <w:rPr>
          <w:rFonts w:hint="eastAsia" w:ascii="仿宋" w:hAnsi="仿宋" w:eastAsia="仿宋" w:cs="仿宋"/>
          <w:sz w:val="28"/>
          <w:szCs w:val="28"/>
        </w:rPr>
        <w:t>获第二届中国研究生企业管理创新大赛</w:t>
      </w:r>
      <w:r>
        <w:rPr>
          <w:rFonts w:hint="eastAsia" w:ascii="仿宋" w:hAnsi="仿宋" w:eastAsia="仿宋" w:cs="仿宋"/>
          <w:sz w:val="28"/>
          <w:szCs w:val="28"/>
          <w:lang w:val="en-US" w:eastAsia="zh-CN"/>
        </w:rPr>
        <w:t>二等奖1项、三等奖1项，</w:t>
      </w:r>
      <w:r>
        <w:rPr>
          <w:rFonts w:hint="eastAsia" w:ascii="仿宋" w:hAnsi="仿宋" w:eastAsia="仿宋" w:cs="仿宋"/>
          <w:sz w:val="28"/>
          <w:szCs w:val="28"/>
        </w:rPr>
        <w:t>第十四届“正大杯”全国大学生市场调查与分析大赛国家三等奖1项、省级一等奖</w:t>
      </w:r>
      <w:r>
        <w:rPr>
          <w:rFonts w:ascii="仿宋" w:hAnsi="仿宋" w:eastAsia="仿宋" w:cs="仿宋"/>
          <w:sz w:val="28"/>
          <w:szCs w:val="28"/>
        </w:rPr>
        <w:t>2</w:t>
      </w:r>
      <w:r>
        <w:rPr>
          <w:rFonts w:hint="eastAsia" w:ascii="仿宋" w:hAnsi="仿宋" w:eastAsia="仿宋" w:cs="仿宋"/>
          <w:sz w:val="28"/>
          <w:szCs w:val="28"/>
        </w:rPr>
        <w:t>项、省级三等奖2项，第八届湖南省M</w:t>
      </w:r>
      <w:r>
        <w:rPr>
          <w:rFonts w:ascii="仿宋" w:hAnsi="仿宋" w:eastAsia="仿宋" w:cs="仿宋"/>
          <w:sz w:val="28"/>
          <w:szCs w:val="28"/>
        </w:rPr>
        <w:t>BA</w:t>
      </w:r>
      <w:r>
        <w:rPr>
          <w:rFonts w:hint="eastAsia" w:ascii="仿宋" w:hAnsi="仿宋" w:eastAsia="仿宋" w:cs="仿宋"/>
          <w:sz w:val="28"/>
          <w:szCs w:val="28"/>
        </w:rPr>
        <w:t>案例大赛省级三等奖2项</w:t>
      </w:r>
      <w:bookmarkStart w:id="37" w:name="_Hlk92202494"/>
      <w:r>
        <w:rPr>
          <w:rFonts w:hint="eastAsia" w:ascii="仿宋" w:hAnsi="仿宋" w:eastAsia="仿宋" w:cs="仿宋"/>
          <w:sz w:val="28"/>
          <w:szCs w:val="28"/>
        </w:rPr>
        <w:t>，“天职杯”第九届湖南省研究生MPAcc企业案例大赛获二等奖1项、三等奖</w:t>
      </w:r>
      <w:r>
        <w:rPr>
          <w:rFonts w:ascii="仿宋" w:hAnsi="仿宋" w:eastAsia="仿宋" w:cs="仿宋"/>
          <w:sz w:val="28"/>
          <w:szCs w:val="28"/>
        </w:rPr>
        <w:t>2</w:t>
      </w:r>
      <w:r>
        <w:rPr>
          <w:rFonts w:hint="eastAsia" w:ascii="仿宋" w:hAnsi="仿宋" w:eastAsia="仿宋" w:cs="仿宋"/>
          <w:sz w:val="28"/>
          <w:szCs w:val="28"/>
        </w:rPr>
        <w:t>项，湖南省优秀硕士学位论文1篇。</w:t>
      </w:r>
    </w:p>
    <w:p w14:paraId="3AF9A8D5">
      <w:pPr>
        <w:pStyle w:val="8"/>
        <w:tabs>
          <w:tab w:val="left" w:pos="8280"/>
        </w:tabs>
        <w:snapToGrid w:val="0"/>
        <w:spacing w:after="0" w:line="360" w:lineRule="auto"/>
        <w:ind w:right="26"/>
        <w:jc w:val="center"/>
        <w:rPr>
          <w:rFonts w:ascii="仿宋" w:hAnsi="仿宋" w:eastAsia="仿宋" w:cs="仿宋"/>
          <w:sz w:val="24"/>
          <w:szCs w:val="24"/>
        </w:rPr>
      </w:pPr>
      <w:r>
        <w:rPr>
          <w:rFonts w:hint="eastAsia" w:ascii="仿宋" w:hAnsi="仿宋" w:eastAsia="仿宋" w:cs="仿宋"/>
          <w:sz w:val="24"/>
          <w:szCs w:val="24"/>
        </w:rPr>
        <w:t>表</w:t>
      </w:r>
      <w:r>
        <w:rPr>
          <w:rFonts w:hint="eastAsia" w:ascii="仿宋" w:hAnsi="仿宋" w:eastAsia="仿宋" w:cs="仿宋"/>
          <w:sz w:val="24"/>
          <w:szCs w:val="24"/>
          <w:lang w:val="en-US" w:eastAsia="zh-CN"/>
        </w:rPr>
        <w:t>2</w:t>
      </w:r>
      <w:r>
        <w:rPr>
          <w:rFonts w:hint="eastAsia" w:ascii="仿宋" w:hAnsi="仿宋" w:eastAsia="仿宋" w:cs="仿宋"/>
          <w:sz w:val="24"/>
          <w:szCs w:val="24"/>
        </w:rPr>
        <w:t xml:space="preserve">  202</w:t>
      </w:r>
      <w:r>
        <w:rPr>
          <w:rFonts w:ascii="仿宋" w:hAnsi="仿宋" w:eastAsia="仿宋" w:cs="仿宋"/>
          <w:sz w:val="24"/>
          <w:szCs w:val="24"/>
        </w:rPr>
        <w:t>4</w:t>
      </w:r>
      <w:r>
        <w:rPr>
          <w:rFonts w:hint="eastAsia" w:ascii="仿宋" w:hAnsi="仿宋" w:eastAsia="仿宋" w:cs="仿宋"/>
          <w:sz w:val="24"/>
          <w:szCs w:val="24"/>
        </w:rPr>
        <w:t>年研究生省级以上学科竞赛获奖情况统计表（部分）</w:t>
      </w:r>
    </w:p>
    <w:tbl>
      <w:tblPr>
        <w:tblStyle w:val="14"/>
        <w:tblW w:w="8668" w:type="dxa"/>
        <w:tblInd w:w="0" w:type="dxa"/>
        <w:tblLayout w:type="fixed"/>
        <w:tblCellMar>
          <w:top w:w="0" w:type="dxa"/>
          <w:left w:w="108" w:type="dxa"/>
          <w:bottom w:w="0" w:type="dxa"/>
          <w:right w:w="108" w:type="dxa"/>
        </w:tblCellMar>
      </w:tblPr>
      <w:tblGrid>
        <w:gridCol w:w="568"/>
        <w:gridCol w:w="2536"/>
        <w:gridCol w:w="2100"/>
        <w:gridCol w:w="1114"/>
        <w:gridCol w:w="1057"/>
        <w:gridCol w:w="1293"/>
      </w:tblGrid>
      <w:tr w14:paraId="73CA645E">
        <w:tblPrEx>
          <w:tblCellMar>
            <w:top w:w="0" w:type="dxa"/>
            <w:left w:w="108" w:type="dxa"/>
            <w:bottom w:w="0" w:type="dxa"/>
            <w:right w:w="108" w:type="dxa"/>
          </w:tblCellMar>
        </w:tblPrEx>
        <w:trPr>
          <w:trHeight w:val="4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FE09">
            <w:pPr>
              <w:widowControl/>
              <w:jc w:val="center"/>
              <w:textAlignment w:val="bottom"/>
              <w:rPr>
                <w:rFonts w:ascii="仿宋" w:hAnsi="仿宋" w:eastAsia="仿宋"/>
                <w:spacing w:val="-7"/>
                <w:w w:val="110"/>
                <w:sz w:val="22"/>
                <w:szCs w:val="22"/>
              </w:rPr>
            </w:pPr>
            <w:r>
              <w:rPr>
                <w:rFonts w:hint="eastAsia" w:ascii="仿宋" w:hAnsi="仿宋" w:eastAsia="仿宋"/>
                <w:spacing w:val="-7"/>
                <w:w w:val="110"/>
                <w:sz w:val="22"/>
                <w:szCs w:val="22"/>
              </w:rPr>
              <w:t>序号</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AB8E">
            <w:pPr>
              <w:widowControl/>
              <w:jc w:val="center"/>
              <w:textAlignment w:val="bottom"/>
              <w:rPr>
                <w:rFonts w:ascii="仿宋" w:hAnsi="仿宋" w:eastAsia="仿宋"/>
                <w:spacing w:val="-7"/>
                <w:w w:val="110"/>
                <w:sz w:val="22"/>
                <w:szCs w:val="22"/>
              </w:rPr>
            </w:pPr>
            <w:r>
              <w:rPr>
                <w:rFonts w:hint="eastAsia" w:ascii="仿宋" w:hAnsi="仿宋" w:eastAsia="仿宋"/>
                <w:spacing w:val="-7"/>
                <w:w w:val="110"/>
                <w:sz w:val="22"/>
                <w:szCs w:val="22"/>
              </w:rPr>
              <w:t>奖项名称</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E0A1">
            <w:pPr>
              <w:widowControl/>
              <w:jc w:val="center"/>
              <w:textAlignment w:val="bottom"/>
              <w:rPr>
                <w:rFonts w:ascii="仿宋" w:hAnsi="仿宋" w:eastAsia="仿宋"/>
                <w:spacing w:val="-7"/>
                <w:w w:val="110"/>
                <w:sz w:val="22"/>
                <w:szCs w:val="22"/>
              </w:rPr>
            </w:pPr>
            <w:r>
              <w:rPr>
                <w:rFonts w:hint="eastAsia" w:ascii="仿宋" w:hAnsi="仿宋" w:eastAsia="仿宋"/>
                <w:spacing w:val="-7"/>
                <w:w w:val="110"/>
                <w:sz w:val="22"/>
                <w:szCs w:val="22"/>
              </w:rPr>
              <w:t>获奖人姓名</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08BC">
            <w:pPr>
              <w:widowControl/>
              <w:jc w:val="center"/>
              <w:textAlignment w:val="bottom"/>
              <w:rPr>
                <w:rFonts w:ascii="仿宋" w:hAnsi="仿宋" w:eastAsia="仿宋"/>
                <w:spacing w:val="-7"/>
                <w:w w:val="110"/>
                <w:sz w:val="22"/>
                <w:szCs w:val="22"/>
              </w:rPr>
            </w:pPr>
            <w:r>
              <w:rPr>
                <w:rFonts w:hint="eastAsia" w:ascii="仿宋" w:hAnsi="仿宋" w:eastAsia="仿宋"/>
                <w:spacing w:val="-7"/>
                <w:w w:val="110"/>
                <w:sz w:val="22"/>
                <w:szCs w:val="22"/>
              </w:rPr>
              <w:t>获奖等级</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C818">
            <w:pPr>
              <w:widowControl/>
              <w:jc w:val="center"/>
              <w:textAlignment w:val="bottom"/>
              <w:rPr>
                <w:rFonts w:ascii="仿宋" w:hAnsi="仿宋" w:eastAsia="仿宋"/>
                <w:spacing w:val="-7"/>
                <w:w w:val="110"/>
                <w:sz w:val="22"/>
                <w:szCs w:val="22"/>
              </w:rPr>
            </w:pPr>
            <w:r>
              <w:rPr>
                <w:rFonts w:hint="eastAsia" w:ascii="仿宋" w:hAnsi="仿宋" w:eastAsia="仿宋"/>
                <w:spacing w:val="-7"/>
                <w:w w:val="110"/>
                <w:sz w:val="22"/>
                <w:szCs w:val="22"/>
              </w:rPr>
              <w:t>获奖时间</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C635">
            <w:pPr>
              <w:widowControl/>
              <w:jc w:val="center"/>
              <w:textAlignment w:val="bottom"/>
              <w:rPr>
                <w:rFonts w:ascii="仿宋" w:hAnsi="仿宋" w:eastAsia="仿宋"/>
                <w:spacing w:val="-7"/>
                <w:w w:val="110"/>
                <w:sz w:val="22"/>
                <w:szCs w:val="22"/>
              </w:rPr>
            </w:pPr>
            <w:r>
              <w:rPr>
                <w:rFonts w:hint="eastAsia" w:ascii="仿宋" w:hAnsi="仿宋" w:eastAsia="仿宋"/>
                <w:spacing w:val="-7"/>
                <w:w w:val="110"/>
                <w:sz w:val="22"/>
                <w:szCs w:val="22"/>
              </w:rPr>
              <w:t>主办单位</w:t>
            </w:r>
          </w:p>
        </w:tc>
      </w:tr>
      <w:tr w14:paraId="4D6E68A2">
        <w:tblPrEx>
          <w:tblCellMar>
            <w:top w:w="0" w:type="dxa"/>
            <w:left w:w="108" w:type="dxa"/>
            <w:bottom w:w="0" w:type="dxa"/>
            <w:right w:w="108" w:type="dxa"/>
          </w:tblCellMar>
        </w:tblPrEx>
        <w:trPr>
          <w:trHeight w:val="4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5A23">
            <w:pPr>
              <w:widowControl/>
              <w:jc w:val="center"/>
              <w:textAlignment w:val="bottom"/>
              <w:rPr>
                <w:rFonts w:hint="eastAsia" w:ascii="仿宋" w:hAnsi="仿宋" w:eastAsia="仿宋" w:cs="Times New Roman"/>
                <w:spacing w:val="-7"/>
                <w:w w:val="110"/>
                <w:kern w:val="2"/>
                <w:sz w:val="22"/>
                <w:szCs w:val="22"/>
                <w:lang w:val="en-US" w:eastAsia="zh-CN" w:bidi="ar-SA"/>
              </w:rPr>
            </w:pPr>
            <w:r>
              <w:rPr>
                <w:rFonts w:hint="eastAsia" w:ascii="仿宋" w:hAnsi="仿宋" w:eastAsia="仿宋"/>
                <w:spacing w:val="-7"/>
                <w:w w:val="110"/>
                <w:sz w:val="22"/>
                <w:szCs w:val="22"/>
              </w:rPr>
              <w:t>1</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916E">
            <w:pPr>
              <w:widowControl/>
              <w:jc w:val="center"/>
              <w:textAlignment w:val="bottom"/>
              <w:rPr>
                <w:rFonts w:hint="eastAsia" w:ascii="仿宋" w:hAnsi="仿宋" w:eastAsia="仿宋" w:cs="Times New Roman"/>
                <w:spacing w:val="-7"/>
                <w:w w:val="110"/>
                <w:sz w:val="22"/>
                <w:szCs w:val="22"/>
              </w:rPr>
            </w:pPr>
            <w:r>
              <w:rPr>
                <w:rFonts w:hint="eastAsia" w:ascii="仿宋" w:hAnsi="仿宋" w:eastAsia="仿宋" w:cs="Times New Roman"/>
                <w:spacing w:val="-7"/>
                <w:w w:val="110"/>
                <w:sz w:val="22"/>
                <w:szCs w:val="22"/>
              </w:rPr>
              <w:t>第二届（2024）中国研究生企业管理创新大赛</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DB0E">
            <w:pPr>
              <w:widowControl/>
              <w:jc w:val="center"/>
              <w:textAlignment w:val="bottom"/>
              <w:rPr>
                <w:rFonts w:hint="default"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袁鑫梦、李文洁</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3F10">
            <w:pPr>
              <w:widowControl/>
              <w:jc w:val="center"/>
              <w:textAlignment w:val="bottom"/>
              <w:rPr>
                <w:rFonts w:hint="default"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国家二等奖</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7D2B">
            <w:pPr>
              <w:widowControl/>
              <w:jc w:val="center"/>
              <w:textAlignment w:val="bottom"/>
              <w:rPr>
                <w:rFonts w:hint="default"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2024.12</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7DCA">
            <w:pPr>
              <w:widowControl/>
              <w:jc w:val="center"/>
              <w:textAlignment w:val="bottom"/>
              <w:rPr>
                <w:rFonts w:hint="eastAsia" w:ascii="仿宋" w:hAnsi="仿宋" w:eastAsia="仿宋" w:cs="Times New Roman"/>
                <w:spacing w:val="-7"/>
                <w:w w:val="110"/>
                <w:sz w:val="22"/>
                <w:szCs w:val="22"/>
              </w:rPr>
            </w:pPr>
            <w:r>
              <w:rPr>
                <w:rFonts w:hint="eastAsia" w:ascii="仿宋" w:hAnsi="仿宋" w:eastAsia="仿宋" w:cs="Times New Roman"/>
                <w:spacing w:val="-7"/>
                <w:w w:val="110"/>
                <w:sz w:val="22"/>
                <w:szCs w:val="22"/>
              </w:rPr>
              <w:t>中国学位与研究生教育学会</w:t>
            </w:r>
          </w:p>
        </w:tc>
      </w:tr>
      <w:tr w14:paraId="398AC463">
        <w:tblPrEx>
          <w:tblCellMar>
            <w:top w:w="0" w:type="dxa"/>
            <w:left w:w="108" w:type="dxa"/>
            <w:bottom w:w="0" w:type="dxa"/>
            <w:right w:w="108" w:type="dxa"/>
          </w:tblCellMar>
        </w:tblPrEx>
        <w:trPr>
          <w:trHeight w:val="4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7DFD">
            <w:pPr>
              <w:widowControl/>
              <w:jc w:val="center"/>
              <w:textAlignment w:val="bottom"/>
              <w:rPr>
                <w:rFonts w:hint="eastAsia" w:ascii="仿宋" w:hAnsi="仿宋" w:eastAsia="仿宋" w:cs="Times New Roman"/>
                <w:spacing w:val="-7"/>
                <w:w w:val="110"/>
                <w:kern w:val="2"/>
                <w:sz w:val="22"/>
                <w:szCs w:val="22"/>
                <w:lang w:val="en-US" w:eastAsia="zh-CN" w:bidi="ar-SA"/>
              </w:rPr>
            </w:pPr>
            <w:r>
              <w:rPr>
                <w:rFonts w:hint="eastAsia" w:ascii="仿宋" w:hAnsi="仿宋" w:eastAsia="仿宋"/>
                <w:spacing w:val="-7"/>
                <w:w w:val="110"/>
                <w:sz w:val="22"/>
                <w:szCs w:val="22"/>
              </w:rPr>
              <w:t>2</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CBFC">
            <w:pPr>
              <w:widowControl/>
              <w:jc w:val="center"/>
              <w:textAlignment w:val="bottom"/>
              <w:rPr>
                <w:rFonts w:hint="eastAsia" w:ascii="仿宋" w:hAnsi="仿宋" w:eastAsia="仿宋" w:cs="Times New Roman"/>
                <w:spacing w:val="-7"/>
                <w:w w:val="110"/>
                <w:sz w:val="22"/>
                <w:szCs w:val="22"/>
              </w:rPr>
            </w:pPr>
            <w:r>
              <w:rPr>
                <w:rFonts w:hint="eastAsia" w:ascii="仿宋" w:hAnsi="仿宋" w:eastAsia="仿宋" w:cs="Times New Roman"/>
                <w:spacing w:val="-7"/>
                <w:w w:val="110"/>
                <w:sz w:val="22"/>
                <w:szCs w:val="22"/>
              </w:rPr>
              <w:t>第二届（2024）中国研究生企业管理创新大赛</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E371">
            <w:pPr>
              <w:widowControl/>
              <w:jc w:val="center"/>
              <w:textAlignment w:val="bottom"/>
              <w:rPr>
                <w:rFonts w:hint="eastAsia"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何璐</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1080">
            <w:pPr>
              <w:widowControl/>
              <w:jc w:val="center"/>
              <w:textAlignment w:val="bottom"/>
              <w:rPr>
                <w:rFonts w:hint="default"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国家三等奖</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0B9E">
            <w:pPr>
              <w:widowControl/>
              <w:jc w:val="center"/>
              <w:textAlignment w:val="bottom"/>
              <w:rPr>
                <w:rFonts w:hint="default" w:ascii="仿宋" w:hAnsi="仿宋" w:eastAsia="仿宋"/>
                <w:spacing w:val="-7"/>
                <w:w w:val="110"/>
                <w:sz w:val="22"/>
                <w:szCs w:val="22"/>
                <w:lang w:val="en-US" w:eastAsia="zh-CN"/>
              </w:rPr>
            </w:pPr>
            <w:r>
              <w:rPr>
                <w:rFonts w:hint="eastAsia" w:ascii="仿宋" w:hAnsi="仿宋" w:eastAsia="仿宋"/>
                <w:spacing w:val="-7"/>
                <w:w w:val="110"/>
                <w:sz w:val="22"/>
                <w:szCs w:val="22"/>
                <w:lang w:val="en-US" w:eastAsia="zh-CN"/>
              </w:rPr>
              <w:t>2024.12</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7176">
            <w:pPr>
              <w:widowControl/>
              <w:jc w:val="center"/>
              <w:textAlignment w:val="bottom"/>
              <w:rPr>
                <w:rFonts w:hint="eastAsia" w:ascii="仿宋" w:hAnsi="仿宋" w:eastAsia="仿宋" w:cs="Times New Roman"/>
                <w:spacing w:val="-7"/>
                <w:w w:val="110"/>
                <w:sz w:val="22"/>
                <w:szCs w:val="22"/>
              </w:rPr>
            </w:pPr>
            <w:r>
              <w:rPr>
                <w:rFonts w:hint="eastAsia" w:ascii="仿宋" w:hAnsi="仿宋" w:eastAsia="仿宋" w:cs="Times New Roman"/>
                <w:spacing w:val="-7"/>
                <w:w w:val="110"/>
                <w:sz w:val="22"/>
                <w:szCs w:val="22"/>
              </w:rPr>
              <w:t>中国学位与研究生教育学会</w:t>
            </w:r>
          </w:p>
        </w:tc>
      </w:tr>
      <w:tr w14:paraId="3FCB86E3">
        <w:tblPrEx>
          <w:tblCellMar>
            <w:top w:w="0" w:type="dxa"/>
            <w:left w:w="108" w:type="dxa"/>
            <w:bottom w:w="0" w:type="dxa"/>
            <w:right w:w="108" w:type="dxa"/>
          </w:tblCellMar>
        </w:tblPrEx>
        <w:trPr>
          <w:trHeight w:val="4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0204">
            <w:pPr>
              <w:widowControl/>
              <w:jc w:val="center"/>
              <w:textAlignment w:val="bottom"/>
              <w:rPr>
                <w:rFonts w:hint="eastAsia" w:ascii="仿宋" w:hAnsi="仿宋" w:eastAsia="仿宋" w:cs="Times New Roman"/>
                <w:spacing w:val="-7"/>
                <w:w w:val="110"/>
                <w:kern w:val="2"/>
                <w:sz w:val="22"/>
                <w:szCs w:val="22"/>
                <w:lang w:val="en-US" w:eastAsia="zh-CN" w:bidi="ar-SA"/>
              </w:rPr>
            </w:pPr>
            <w:r>
              <w:rPr>
                <w:rFonts w:hint="eastAsia" w:ascii="仿宋" w:hAnsi="仿宋" w:eastAsia="仿宋"/>
                <w:spacing w:val="-7"/>
                <w:w w:val="110"/>
                <w:sz w:val="22"/>
                <w:szCs w:val="22"/>
              </w:rPr>
              <w:t>3</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82DD">
            <w:pPr>
              <w:widowControl/>
              <w:jc w:val="center"/>
              <w:textAlignment w:val="bottom"/>
              <w:rPr>
                <w:rFonts w:hint="eastAsia" w:ascii="仿宋" w:hAnsi="仿宋" w:eastAsia="仿宋"/>
                <w:spacing w:val="-7"/>
                <w:w w:val="110"/>
                <w:sz w:val="22"/>
                <w:szCs w:val="22"/>
              </w:rPr>
            </w:pPr>
            <w:r>
              <w:rPr>
                <w:rFonts w:hint="eastAsia" w:ascii="仿宋" w:hAnsi="仿宋" w:eastAsia="仿宋"/>
                <w:spacing w:val="-7"/>
                <w:w w:val="110"/>
                <w:sz w:val="22"/>
                <w:szCs w:val="22"/>
              </w:rPr>
              <w:t>正大杯第十四届大学生全国市场调查与分析大赛</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5045">
            <w:pPr>
              <w:widowControl/>
              <w:jc w:val="center"/>
              <w:textAlignment w:val="bottom"/>
              <w:rPr>
                <w:rFonts w:hint="eastAsia" w:ascii="仿宋" w:hAnsi="仿宋" w:eastAsia="仿宋"/>
                <w:spacing w:val="-7"/>
                <w:w w:val="110"/>
                <w:sz w:val="22"/>
                <w:szCs w:val="22"/>
              </w:rPr>
            </w:pPr>
            <w:r>
              <w:rPr>
                <w:rFonts w:hint="eastAsia" w:ascii="仿宋" w:hAnsi="仿宋" w:eastAsia="仿宋"/>
                <w:spacing w:val="-7"/>
                <w:w w:val="110"/>
                <w:sz w:val="22"/>
                <w:szCs w:val="22"/>
              </w:rPr>
              <w:t>李欣雨、翟亚琦、仲佳伟、王凯、李任一</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AE86">
            <w:pPr>
              <w:widowControl/>
              <w:jc w:val="center"/>
              <w:textAlignment w:val="bottom"/>
              <w:rPr>
                <w:rFonts w:hint="eastAsia" w:ascii="仿宋" w:hAnsi="仿宋" w:eastAsia="仿宋"/>
                <w:spacing w:val="-7"/>
                <w:w w:val="110"/>
                <w:sz w:val="22"/>
                <w:szCs w:val="22"/>
              </w:rPr>
            </w:pPr>
            <w:r>
              <w:rPr>
                <w:rFonts w:hint="eastAsia" w:ascii="仿宋" w:hAnsi="仿宋" w:eastAsia="仿宋"/>
                <w:spacing w:val="-7"/>
                <w:w w:val="110"/>
                <w:sz w:val="22"/>
                <w:szCs w:val="22"/>
              </w:rPr>
              <w:t>国家三等奖</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7D67">
            <w:pPr>
              <w:widowControl/>
              <w:jc w:val="center"/>
              <w:textAlignment w:val="bottom"/>
              <w:rPr>
                <w:rFonts w:hint="eastAsia" w:ascii="仿宋" w:hAnsi="仿宋" w:eastAsia="仿宋"/>
                <w:spacing w:val="-7"/>
                <w:w w:val="110"/>
                <w:sz w:val="22"/>
                <w:szCs w:val="22"/>
              </w:rPr>
            </w:pPr>
            <w:r>
              <w:rPr>
                <w:rFonts w:hint="eastAsia" w:ascii="仿宋" w:hAnsi="仿宋" w:eastAsia="仿宋"/>
                <w:spacing w:val="-7"/>
                <w:w w:val="110"/>
                <w:sz w:val="22"/>
                <w:szCs w:val="22"/>
              </w:rPr>
              <w:t>2</w:t>
            </w:r>
            <w:r>
              <w:rPr>
                <w:rFonts w:ascii="仿宋" w:hAnsi="仿宋" w:eastAsia="仿宋"/>
                <w:spacing w:val="-7"/>
                <w:w w:val="110"/>
                <w:sz w:val="22"/>
                <w:szCs w:val="22"/>
              </w:rPr>
              <w:t>024</w:t>
            </w:r>
            <w:r>
              <w:rPr>
                <w:rFonts w:hint="eastAsia" w:ascii="仿宋" w:hAnsi="仿宋" w:eastAsia="仿宋"/>
                <w:spacing w:val="-7"/>
                <w:w w:val="110"/>
                <w:sz w:val="22"/>
                <w:szCs w:val="22"/>
                <w:lang w:val="en-US" w:eastAsia="zh-CN"/>
              </w:rPr>
              <w:t>.</w:t>
            </w:r>
            <w:r>
              <w:rPr>
                <w:rFonts w:ascii="仿宋" w:hAnsi="仿宋" w:eastAsia="仿宋"/>
                <w:spacing w:val="-7"/>
                <w:w w:val="110"/>
                <w:sz w:val="22"/>
                <w:szCs w:val="22"/>
              </w:rPr>
              <w:t>5</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17DC">
            <w:pPr>
              <w:widowControl/>
              <w:jc w:val="center"/>
              <w:textAlignment w:val="bottom"/>
              <w:rPr>
                <w:rFonts w:hint="eastAsia" w:ascii="仿宋" w:hAnsi="仿宋" w:eastAsia="仿宋"/>
                <w:spacing w:val="-7"/>
                <w:w w:val="110"/>
                <w:sz w:val="22"/>
                <w:szCs w:val="22"/>
              </w:rPr>
            </w:pPr>
            <w:r>
              <w:rPr>
                <w:rFonts w:hint="eastAsia" w:ascii="仿宋" w:hAnsi="仿宋" w:eastAsia="仿宋"/>
                <w:spacing w:val="-7"/>
                <w:w w:val="110"/>
                <w:sz w:val="22"/>
                <w:szCs w:val="22"/>
              </w:rPr>
              <w:t>中国商业统计学会</w:t>
            </w:r>
          </w:p>
        </w:tc>
      </w:tr>
      <w:tr w14:paraId="17E6E4EB">
        <w:tblPrEx>
          <w:tblCellMar>
            <w:top w:w="0" w:type="dxa"/>
            <w:left w:w="108" w:type="dxa"/>
            <w:bottom w:w="0" w:type="dxa"/>
            <w:right w:w="108" w:type="dxa"/>
          </w:tblCellMar>
        </w:tblPrEx>
        <w:trPr>
          <w:trHeight w:val="4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DA40">
            <w:pPr>
              <w:widowControl/>
              <w:jc w:val="center"/>
              <w:textAlignment w:val="bottom"/>
              <w:rPr>
                <w:rFonts w:hint="eastAsia" w:ascii="仿宋" w:hAnsi="仿宋" w:eastAsia="仿宋" w:cs="Times New Roman"/>
                <w:spacing w:val="-7"/>
                <w:w w:val="110"/>
                <w:kern w:val="2"/>
                <w:sz w:val="22"/>
                <w:szCs w:val="22"/>
                <w:lang w:val="en-US" w:eastAsia="zh-CN" w:bidi="ar-SA"/>
              </w:rPr>
            </w:pPr>
            <w:r>
              <w:rPr>
                <w:rFonts w:hint="eastAsia" w:ascii="仿宋" w:hAnsi="仿宋" w:eastAsia="仿宋"/>
                <w:spacing w:val="-7"/>
                <w:w w:val="110"/>
                <w:sz w:val="22"/>
                <w:szCs w:val="22"/>
              </w:rPr>
              <w:t>4</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3736">
            <w:pPr>
              <w:widowControl/>
              <w:jc w:val="center"/>
              <w:textAlignment w:val="bottom"/>
              <w:rPr>
                <w:rFonts w:hint="eastAsia" w:ascii="仿宋" w:hAnsi="仿宋" w:eastAsia="仿宋" w:cs="Times New Roman"/>
                <w:spacing w:val="-7"/>
                <w:w w:val="110"/>
                <w:kern w:val="2"/>
                <w:sz w:val="22"/>
                <w:szCs w:val="22"/>
                <w:lang w:val="en-US" w:eastAsia="zh-CN" w:bidi="ar-SA"/>
              </w:rPr>
            </w:pPr>
            <w:r>
              <w:rPr>
                <w:rFonts w:hint="eastAsia" w:ascii="仿宋" w:hAnsi="仿宋" w:eastAsia="仿宋"/>
                <w:spacing w:val="-7"/>
                <w:w w:val="110"/>
                <w:sz w:val="22"/>
                <w:szCs w:val="22"/>
              </w:rPr>
              <w:t>2</w:t>
            </w:r>
            <w:r>
              <w:rPr>
                <w:rFonts w:ascii="仿宋" w:hAnsi="仿宋" w:eastAsia="仿宋"/>
                <w:spacing w:val="-7"/>
                <w:w w:val="110"/>
                <w:sz w:val="22"/>
                <w:szCs w:val="22"/>
              </w:rPr>
              <w:t>024</w:t>
            </w:r>
            <w:r>
              <w:rPr>
                <w:rFonts w:hint="eastAsia" w:ascii="仿宋" w:hAnsi="仿宋" w:eastAsia="仿宋"/>
                <w:spacing w:val="-7"/>
                <w:w w:val="110"/>
                <w:sz w:val="22"/>
                <w:szCs w:val="22"/>
              </w:rPr>
              <w:t>年东方财富杯金融挑战赛</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17F0">
            <w:pPr>
              <w:widowControl/>
              <w:jc w:val="center"/>
              <w:textAlignment w:val="bottom"/>
              <w:rPr>
                <w:rFonts w:hint="eastAsia" w:ascii="仿宋" w:hAnsi="仿宋" w:eastAsia="仿宋" w:cs="Times New Roman"/>
                <w:spacing w:val="-7"/>
                <w:w w:val="110"/>
                <w:kern w:val="2"/>
                <w:sz w:val="22"/>
                <w:szCs w:val="22"/>
                <w:lang w:val="en-US" w:eastAsia="zh-CN" w:bidi="ar-SA"/>
              </w:rPr>
            </w:pPr>
            <w:r>
              <w:rPr>
                <w:rFonts w:hint="eastAsia" w:ascii="仿宋" w:hAnsi="仿宋" w:eastAsia="仿宋"/>
                <w:spacing w:val="-7"/>
                <w:w w:val="110"/>
                <w:sz w:val="22"/>
                <w:szCs w:val="22"/>
              </w:rPr>
              <w:t>刘庚、艾丽努尔·阿克木、刘叶</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5E9A">
            <w:pPr>
              <w:widowControl/>
              <w:jc w:val="center"/>
              <w:textAlignment w:val="bottom"/>
              <w:rPr>
                <w:rFonts w:hint="eastAsia" w:ascii="仿宋" w:hAnsi="仿宋" w:eastAsia="仿宋" w:cs="Times New Roman"/>
                <w:spacing w:val="-7"/>
                <w:w w:val="110"/>
                <w:kern w:val="2"/>
                <w:sz w:val="22"/>
                <w:szCs w:val="22"/>
                <w:lang w:val="en-US" w:eastAsia="zh-CN" w:bidi="ar-SA"/>
              </w:rPr>
            </w:pPr>
            <w:r>
              <w:rPr>
                <w:rFonts w:hint="eastAsia" w:ascii="仿宋" w:hAnsi="仿宋" w:eastAsia="仿宋"/>
                <w:spacing w:val="-7"/>
                <w:w w:val="110"/>
                <w:sz w:val="22"/>
                <w:szCs w:val="22"/>
              </w:rPr>
              <w:t>省级一等奖</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9A09">
            <w:pPr>
              <w:widowControl/>
              <w:jc w:val="center"/>
              <w:textAlignment w:val="bottom"/>
              <w:rPr>
                <w:rFonts w:hint="eastAsia" w:ascii="仿宋" w:hAnsi="仿宋" w:eastAsia="仿宋" w:cs="Times New Roman"/>
                <w:spacing w:val="-7"/>
                <w:w w:val="110"/>
                <w:kern w:val="2"/>
                <w:sz w:val="22"/>
                <w:szCs w:val="22"/>
                <w:lang w:val="en-US" w:eastAsia="zh-CN" w:bidi="ar-SA"/>
              </w:rPr>
            </w:pPr>
            <w:r>
              <w:rPr>
                <w:rFonts w:hint="eastAsia" w:ascii="仿宋" w:hAnsi="仿宋" w:eastAsia="仿宋"/>
                <w:spacing w:val="-7"/>
                <w:w w:val="110"/>
                <w:sz w:val="22"/>
                <w:szCs w:val="22"/>
              </w:rPr>
              <w:t>2</w:t>
            </w:r>
            <w:r>
              <w:rPr>
                <w:rFonts w:ascii="仿宋" w:hAnsi="仿宋" w:eastAsia="仿宋"/>
                <w:spacing w:val="-7"/>
                <w:w w:val="110"/>
                <w:sz w:val="22"/>
                <w:szCs w:val="22"/>
              </w:rPr>
              <w:t>024</w:t>
            </w:r>
            <w:r>
              <w:rPr>
                <w:rFonts w:hint="eastAsia" w:ascii="仿宋" w:hAnsi="仿宋" w:eastAsia="仿宋"/>
                <w:spacing w:val="-7"/>
                <w:w w:val="110"/>
                <w:sz w:val="22"/>
                <w:szCs w:val="22"/>
                <w:lang w:val="en-US" w:eastAsia="zh-CN"/>
              </w:rPr>
              <w:t>.</w:t>
            </w:r>
            <w:r>
              <w:rPr>
                <w:rFonts w:ascii="仿宋" w:hAnsi="仿宋" w:eastAsia="仿宋"/>
                <w:spacing w:val="-7"/>
                <w:w w:val="110"/>
                <w:sz w:val="22"/>
                <w:szCs w:val="22"/>
              </w:rPr>
              <w:t>7</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17776">
            <w:pPr>
              <w:widowControl/>
              <w:jc w:val="center"/>
              <w:textAlignment w:val="bottom"/>
              <w:rPr>
                <w:rFonts w:hint="eastAsia" w:ascii="仿宋" w:hAnsi="仿宋" w:eastAsia="仿宋" w:cs="Times New Roman"/>
                <w:spacing w:val="-7"/>
                <w:w w:val="110"/>
                <w:kern w:val="2"/>
                <w:sz w:val="22"/>
                <w:szCs w:val="22"/>
                <w:lang w:val="en-US" w:eastAsia="zh-CN" w:bidi="ar-SA"/>
              </w:rPr>
            </w:pPr>
            <w:r>
              <w:rPr>
                <w:rFonts w:hint="eastAsia" w:ascii="仿宋" w:hAnsi="仿宋" w:eastAsia="仿宋"/>
                <w:spacing w:val="-7"/>
                <w:w w:val="110"/>
                <w:sz w:val="22"/>
                <w:szCs w:val="22"/>
              </w:rPr>
              <w:t>东方财富信息股份有限公司</w:t>
            </w:r>
          </w:p>
        </w:tc>
      </w:tr>
      <w:tr w14:paraId="1DDE13BC">
        <w:tblPrEx>
          <w:tblCellMar>
            <w:top w:w="0" w:type="dxa"/>
            <w:left w:w="108" w:type="dxa"/>
            <w:bottom w:w="0" w:type="dxa"/>
            <w:right w:w="108" w:type="dxa"/>
          </w:tblCellMar>
        </w:tblPrEx>
        <w:trPr>
          <w:trHeight w:val="4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57EF">
            <w:pPr>
              <w:widowControl/>
              <w:jc w:val="center"/>
              <w:textAlignment w:val="bottom"/>
              <w:rPr>
                <w:rFonts w:hint="eastAsia" w:ascii="仿宋" w:hAnsi="仿宋" w:eastAsia="仿宋" w:cs="Times New Roman"/>
                <w:spacing w:val="-7"/>
                <w:w w:val="110"/>
                <w:kern w:val="2"/>
                <w:sz w:val="22"/>
                <w:szCs w:val="22"/>
                <w:lang w:val="en-US" w:eastAsia="zh-CN" w:bidi="ar-SA"/>
              </w:rPr>
            </w:pPr>
            <w:r>
              <w:rPr>
                <w:rFonts w:hint="eastAsia" w:ascii="仿宋" w:hAnsi="仿宋" w:eastAsia="仿宋"/>
                <w:spacing w:val="-7"/>
                <w:w w:val="110"/>
                <w:sz w:val="22"/>
                <w:szCs w:val="22"/>
              </w:rPr>
              <w:t>5</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5F59">
            <w:pPr>
              <w:widowControl/>
              <w:jc w:val="center"/>
              <w:textAlignment w:val="bottom"/>
              <w:rPr>
                <w:rFonts w:hint="eastAsia" w:ascii="仿宋" w:hAnsi="仿宋" w:eastAsia="仿宋" w:cs="Times New Roman"/>
                <w:spacing w:val="-7"/>
                <w:w w:val="110"/>
                <w:kern w:val="2"/>
                <w:sz w:val="22"/>
                <w:szCs w:val="22"/>
                <w:lang w:val="en-US" w:eastAsia="zh-CN" w:bidi="ar-SA"/>
              </w:rPr>
            </w:pPr>
            <w:r>
              <w:rPr>
                <w:rFonts w:hint="eastAsia" w:ascii="仿宋" w:hAnsi="仿宋" w:eastAsia="仿宋"/>
                <w:spacing w:val="-7"/>
                <w:w w:val="110"/>
                <w:sz w:val="22"/>
                <w:szCs w:val="22"/>
              </w:rPr>
              <w:t>正大杯第十四届大学生全国市场调查与分析大赛</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29A9">
            <w:pPr>
              <w:widowControl/>
              <w:jc w:val="center"/>
              <w:textAlignment w:val="bottom"/>
              <w:rPr>
                <w:rFonts w:hint="eastAsia" w:ascii="仿宋" w:hAnsi="仿宋" w:eastAsia="仿宋" w:cs="Times New Roman"/>
                <w:spacing w:val="-7"/>
                <w:w w:val="110"/>
                <w:kern w:val="2"/>
                <w:sz w:val="22"/>
                <w:szCs w:val="22"/>
                <w:lang w:val="en-US" w:eastAsia="zh-CN" w:bidi="ar-SA"/>
              </w:rPr>
            </w:pPr>
            <w:r>
              <w:rPr>
                <w:rFonts w:hint="eastAsia" w:ascii="仿宋" w:hAnsi="仿宋" w:eastAsia="仿宋"/>
                <w:spacing w:val="-7"/>
                <w:w w:val="110"/>
                <w:sz w:val="22"/>
                <w:szCs w:val="22"/>
              </w:rPr>
              <w:t>魏琬清、张曼、张小烨、陈美瑜、齐慧宇</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4330">
            <w:pPr>
              <w:widowControl/>
              <w:jc w:val="center"/>
              <w:textAlignment w:val="bottom"/>
              <w:rPr>
                <w:rFonts w:hint="eastAsia" w:ascii="仿宋" w:hAnsi="仿宋" w:eastAsia="仿宋" w:cs="Times New Roman"/>
                <w:spacing w:val="-7"/>
                <w:w w:val="110"/>
                <w:kern w:val="2"/>
                <w:sz w:val="22"/>
                <w:szCs w:val="22"/>
                <w:lang w:val="en-US" w:eastAsia="zh-CN" w:bidi="ar-SA"/>
              </w:rPr>
            </w:pPr>
            <w:r>
              <w:rPr>
                <w:rFonts w:hint="eastAsia" w:ascii="仿宋" w:hAnsi="仿宋" w:eastAsia="仿宋"/>
                <w:spacing w:val="-7"/>
                <w:w w:val="110"/>
                <w:sz w:val="22"/>
                <w:szCs w:val="22"/>
              </w:rPr>
              <w:t>省级一等奖</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1DE9">
            <w:pPr>
              <w:widowControl/>
              <w:jc w:val="center"/>
              <w:textAlignment w:val="bottom"/>
              <w:rPr>
                <w:rFonts w:hint="eastAsia" w:ascii="仿宋" w:hAnsi="仿宋" w:eastAsia="仿宋" w:cs="Times New Roman"/>
                <w:spacing w:val="-7"/>
                <w:w w:val="110"/>
                <w:kern w:val="2"/>
                <w:sz w:val="22"/>
                <w:szCs w:val="22"/>
                <w:lang w:val="en-US" w:eastAsia="zh-CN" w:bidi="ar-SA"/>
              </w:rPr>
            </w:pPr>
            <w:r>
              <w:rPr>
                <w:rFonts w:hint="eastAsia" w:ascii="仿宋" w:hAnsi="仿宋" w:eastAsia="仿宋"/>
                <w:spacing w:val="-7"/>
                <w:w w:val="110"/>
                <w:sz w:val="22"/>
                <w:szCs w:val="22"/>
              </w:rPr>
              <w:t>2</w:t>
            </w:r>
            <w:r>
              <w:rPr>
                <w:rFonts w:ascii="仿宋" w:hAnsi="仿宋" w:eastAsia="仿宋"/>
                <w:spacing w:val="-7"/>
                <w:w w:val="110"/>
                <w:sz w:val="22"/>
                <w:szCs w:val="22"/>
              </w:rPr>
              <w:t>024</w:t>
            </w:r>
            <w:r>
              <w:rPr>
                <w:rFonts w:hint="eastAsia" w:ascii="仿宋" w:hAnsi="仿宋" w:eastAsia="仿宋"/>
                <w:spacing w:val="-7"/>
                <w:w w:val="110"/>
                <w:sz w:val="22"/>
                <w:szCs w:val="22"/>
                <w:lang w:val="en-US" w:eastAsia="zh-CN"/>
              </w:rPr>
              <w:t>.</w:t>
            </w:r>
            <w:r>
              <w:rPr>
                <w:rFonts w:ascii="仿宋" w:hAnsi="仿宋" w:eastAsia="仿宋"/>
                <w:spacing w:val="-7"/>
                <w:w w:val="110"/>
                <w:sz w:val="22"/>
                <w:szCs w:val="22"/>
              </w:rPr>
              <w:t>5</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8F43">
            <w:pPr>
              <w:widowControl/>
              <w:jc w:val="center"/>
              <w:textAlignment w:val="bottom"/>
              <w:rPr>
                <w:rFonts w:hint="eastAsia" w:ascii="仿宋" w:hAnsi="仿宋" w:eastAsia="仿宋" w:cs="Times New Roman"/>
                <w:spacing w:val="-7"/>
                <w:w w:val="110"/>
                <w:kern w:val="2"/>
                <w:sz w:val="22"/>
                <w:szCs w:val="22"/>
                <w:lang w:val="en-US" w:eastAsia="zh-CN" w:bidi="ar-SA"/>
              </w:rPr>
            </w:pPr>
            <w:r>
              <w:rPr>
                <w:rFonts w:hint="eastAsia" w:ascii="仿宋" w:hAnsi="仿宋" w:eastAsia="仿宋"/>
                <w:spacing w:val="-7"/>
                <w:w w:val="110"/>
                <w:sz w:val="22"/>
                <w:szCs w:val="22"/>
              </w:rPr>
              <w:t>中国商业统计学会</w:t>
            </w:r>
          </w:p>
        </w:tc>
      </w:tr>
      <w:tr w14:paraId="2B597DA6">
        <w:tblPrEx>
          <w:tblCellMar>
            <w:top w:w="0" w:type="dxa"/>
            <w:left w:w="108" w:type="dxa"/>
            <w:bottom w:w="0" w:type="dxa"/>
            <w:right w:w="108" w:type="dxa"/>
          </w:tblCellMar>
        </w:tblPrEx>
        <w:trPr>
          <w:trHeight w:val="4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D0A8">
            <w:pPr>
              <w:widowControl/>
              <w:jc w:val="center"/>
              <w:textAlignment w:val="bottom"/>
              <w:rPr>
                <w:rFonts w:hint="eastAsia" w:ascii="仿宋" w:hAnsi="仿宋" w:eastAsia="仿宋" w:cs="Times New Roman"/>
                <w:spacing w:val="-7"/>
                <w:w w:val="110"/>
                <w:kern w:val="2"/>
                <w:sz w:val="22"/>
                <w:szCs w:val="22"/>
                <w:lang w:val="en-US" w:eastAsia="zh-CN" w:bidi="ar-SA"/>
              </w:rPr>
            </w:pPr>
            <w:r>
              <w:rPr>
                <w:rFonts w:hint="eastAsia" w:ascii="仿宋" w:hAnsi="仿宋" w:eastAsia="仿宋"/>
                <w:spacing w:val="-7"/>
                <w:w w:val="110"/>
                <w:sz w:val="22"/>
                <w:szCs w:val="22"/>
              </w:rPr>
              <w:t>6</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F480">
            <w:pPr>
              <w:widowControl/>
              <w:jc w:val="center"/>
              <w:textAlignment w:val="bottom"/>
              <w:rPr>
                <w:rFonts w:hint="eastAsia" w:ascii="仿宋" w:hAnsi="仿宋" w:eastAsia="仿宋" w:cs="Times New Roman"/>
                <w:spacing w:val="-7"/>
                <w:w w:val="110"/>
                <w:kern w:val="2"/>
                <w:sz w:val="22"/>
                <w:szCs w:val="22"/>
                <w:lang w:val="en-US" w:eastAsia="zh-CN" w:bidi="ar-SA"/>
              </w:rPr>
            </w:pPr>
            <w:r>
              <w:rPr>
                <w:rFonts w:hint="eastAsia" w:ascii="仿宋" w:hAnsi="仿宋" w:eastAsia="仿宋"/>
                <w:spacing w:val="-7"/>
                <w:w w:val="110"/>
                <w:sz w:val="22"/>
                <w:szCs w:val="22"/>
              </w:rPr>
              <w:t>正大杯第十四届大学生全国市场调查与分析大赛</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51FA">
            <w:pPr>
              <w:widowControl/>
              <w:jc w:val="center"/>
              <w:textAlignment w:val="bottom"/>
              <w:rPr>
                <w:rFonts w:hint="eastAsia" w:ascii="仿宋" w:hAnsi="仿宋" w:eastAsia="仿宋" w:cs="Times New Roman"/>
                <w:spacing w:val="-7"/>
                <w:w w:val="110"/>
                <w:kern w:val="2"/>
                <w:sz w:val="22"/>
                <w:szCs w:val="22"/>
                <w:lang w:val="en-US" w:eastAsia="zh-CN" w:bidi="ar-SA"/>
              </w:rPr>
            </w:pPr>
            <w:r>
              <w:rPr>
                <w:rFonts w:hint="eastAsia" w:ascii="仿宋" w:hAnsi="仿宋" w:eastAsia="仿宋"/>
                <w:spacing w:val="-7"/>
                <w:w w:val="110"/>
                <w:sz w:val="22"/>
                <w:szCs w:val="22"/>
              </w:rPr>
              <w:t>杜娟、吴保林、王国涛、杨小芳、吴文源</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A0FC">
            <w:pPr>
              <w:widowControl/>
              <w:jc w:val="center"/>
              <w:textAlignment w:val="bottom"/>
              <w:rPr>
                <w:rFonts w:hint="eastAsia" w:ascii="仿宋" w:hAnsi="仿宋" w:eastAsia="仿宋" w:cs="Times New Roman"/>
                <w:spacing w:val="-7"/>
                <w:w w:val="110"/>
                <w:kern w:val="2"/>
                <w:sz w:val="22"/>
                <w:szCs w:val="22"/>
                <w:lang w:val="en-US" w:eastAsia="zh-CN" w:bidi="ar-SA"/>
              </w:rPr>
            </w:pPr>
            <w:r>
              <w:rPr>
                <w:rFonts w:hint="eastAsia" w:ascii="仿宋" w:hAnsi="仿宋" w:eastAsia="仿宋"/>
                <w:spacing w:val="-7"/>
                <w:w w:val="110"/>
                <w:sz w:val="22"/>
                <w:szCs w:val="22"/>
              </w:rPr>
              <w:t>省级一等奖</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255D">
            <w:pPr>
              <w:widowControl/>
              <w:jc w:val="center"/>
              <w:textAlignment w:val="bottom"/>
              <w:rPr>
                <w:rFonts w:hint="eastAsia" w:ascii="仿宋" w:hAnsi="仿宋" w:eastAsia="仿宋" w:cs="Times New Roman"/>
                <w:spacing w:val="-7"/>
                <w:w w:val="110"/>
                <w:kern w:val="2"/>
                <w:sz w:val="22"/>
                <w:szCs w:val="22"/>
                <w:lang w:val="en-US" w:eastAsia="zh-CN" w:bidi="ar-SA"/>
              </w:rPr>
            </w:pPr>
            <w:r>
              <w:rPr>
                <w:rFonts w:hint="eastAsia" w:ascii="仿宋" w:hAnsi="仿宋" w:eastAsia="仿宋"/>
                <w:spacing w:val="-7"/>
                <w:w w:val="110"/>
                <w:sz w:val="22"/>
                <w:szCs w:val="22"/>
              </w:rPr>
              <w:t>2</w:t>
            </w:r>
            <w:r>
              <w:rPr>
                <w:rFonts w:ascii="仿宋" w:hAnsi="仿宋" w:eastAsia="仿宋"/>
                <w:spacing w:val="-7"/>
                <w:w w:val="110"/>
                <w:sz w:val="22"/>
                <w:szCs w:val="22"/>
              </w:rPr>
              <w:t>024</w:t>
            </w:r>
            <w:r>
              <w:rPr>
                <w:rFonts w:hint="eastAsia" w:ascii="仿宋" w:hAnsi="仿宋" w:eastAsia="仿宋"/>
                <w:spacing w:val="-7"/>
                <w:w w:val="110"/>
                <w:sz w:val="22"/>
                <w:szCs w:val="22"/>
                <w:lang w:val="en-US" w:eastAsia="zh-CN"/>
              </w:rPr>
              <w:t>.</w:t>
            </w:r>
            <w:r>
              <w:rPr>
                <w:rFonts w:ascii="仿宋" w:hAnsi="仿宋" w:eastAsia="仿宋"/>
                <w:spacing w:val="-7"/>
                <w:w w:val="110"/>
                <w:sz w:val="22"/>
                <w:szCs w:val="22"/>
              </w:rPr>
              <w:t>5</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429B">
            <w:pPr>
              <w:widowControl/>
              <w:jc w:val="center"/>
              <w:textAlignment w:val="bottom"/>
              <w:rPr>
                <w:rFonts w:hint="eastAsia" w:ascii="仿宋" w:hAnsi="仿宋" w:eastAsia="仿宋" w:cs="Times New Roman"/>
                <w:spacing w:val="-7"/>
                <w:w w:val="110"/>
                <w:kern w:val="2"/>
                <w:sz w:val="22"/>
                <w:szCs w:val="22"/>
                <w:lang w:val="en-US" w:eastAsia="zh-CN" w:bidi="ar-SA"/>
              </w:rPr>
            </w:pPr>
            <w:r>
              <w:rPr>
                <w:rFonts w:hint="eastAsia" w:ascii="仿宋" w:hAnsi="仿宋" w:eastAsia="仿宋"/>
                <w:spacing w:val="-7"/>
                <w:w w:val="110"/>
                <w:sz w:val="22"/>
                <w:szCs w:val="22"/>
              </w:rPr>
              <w:t>中国商业统计学会</w:t>
            </w:r>
          </w:p>
        </w:tc>
      </w:tr>
      <w:tr w14:paraId="5B416A36">
        <w:tblPrEx>
          <w:tblCellMar>
            <w:top w:w="0" w:type="dxa"/>
            <w:left w:w="108" w:type="dxa"/>
            <w:bottom w:w="0" w:type="dxa"/>
            <w:right w:w="108" w:type="dxa"/>
          </w:tblCellMar>
        </w:tblPrEx>
        <w:trPr>
          <w:trHeight w:val="4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37C9">
            <w:pPr>
              <w:widowControl/>
              <w:jc w:val="center"/>
              <w:textAlignment w:val="bottom"/>
              <w:rPr>
                <w:rFonts w:hint="eastAsia" w:ascii="仿宋" w:hAnsi="仿宋" w:eastAsia="仿宋" w:cs="Times New Roman"/>
                <w:spacing w:val="-7"/>
                <w:w w:val="110"/>
                <w:kern w:val="2"/>
                <w:sz w:val="22"/>
                <w:szCs w:val="22"/>
                <w:lang w:val="en-US" w:eastAsia="zh-CN" w:bidi="ar-SA"/>
              </w:rPr>
            </w:pPr>
            <w:r>
              <w:rPr>
                <w:rFonts w:hint="eastAsia" w:ascii="仿宋" w:hAnsi="仿宋" w:eastAsia="仿宋"/>
                <w:spacing w:val="-7"/>
                <w:w w:val="110"/>
                <w:sz w:val="22"/>
                <w:szCs w:val="22"/>
              </w:rPr>
              <w:t>7</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DD24">
            <w:pPr>
              <w:widowControl/>
              <w:jc w:val="center"/>
              <w:textAlignment w:val="bottom"/>
              <w:rPr>
                <w:rFonts w:hint="eastAsia" w:ascii="仿宋" w:hAnsi="仿宋" w:eastAsia="仿宋" w:cs="Times New Roman"/>
                <w:spacing w:val="-7"/>
                <w:w w:val="110"/>
                <w:kern w:val="2"/>
                <w:sz w:val="22"/>
                <w:szCs w:val="22"/>
                <w:lang w:val="en-US" w:eastAsia="zh-CN" w:bidi="ar-SA"/>
              </w:rPr>
            </w:pPr>
            <w:r>
              <w:rPr>
                <w:rFonts w:hint="eastAsia" w:ascii="仿宋" w:hAnsi="仿宋" w:eastAsia="仿宋"/>
                <w:spacing w:val="-7"/>
                <w:w w:val="110"/>
                <w:sz w:val="22"/>
                <w:szCs w:val="22"/>
              </w:rPr>
              <w:t>正大杯第十四届大学生全国市场调查与分析大赛</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9B53">
            <w:pPr>
              <w:widowControl/>
              <w:jc w:val="center"/>
              <w:textAlignment w:val="bottom"/>
              <w:rPr>
                <w:rFonts w:hint="eastAsia" w:ascii="仿宋" w:hAnsi="仿宋" w:eastAsia="仿宋" w:cs="Times New Roman"/>
                <w:spacing w:val="-7"/>
                <w:w w:val="110"/>
                <w:kern w:val="2"/>
                <w:sz w:val="22"/>
                <w:szCs w:val="22"/>
                <w:lang w:val="en-US" w:eastAsia="zh-CN" w:bidi="ar-SA"/>
              </w:rPr>
            </w:pPr>
            <w:r>
              <w:rPr>
                <w:rFonts w:hint="eastAsia" w:ascii="仿宋" w:hAnsi="仿宋" w:eastAsia="仿宋"/>
                <w:spacing w:val="-7"/>
                <w:w w:val="110"/>
                <w:sz w:val="22"/>
                <w:szCs w:val="22"/>
              </w:rPr>
              <w:t>刘庚、李欣雨、赵庆洋</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0A1C">
            <w:pPr>
              <w:widowControl/>
              <w:jc w:val="center"/>
              <w:textAlignment w:val="bottom"/>
              <w:rPr>
                <w:rFonts w:hint="eastAsia" w:ascii="仿宋" w:hAnsi="仿宋" w:eastAsia="仿宋" w:cs="Times New Roman"/>
                <w:spacing w:val="-7"/>
                <w:w w:val="110"/>
                <w:kern w:val="2"/>
                <w:sz w:val="22"/>
                <w:szCs w:val="22"/>
                <w:lang w:val="en-US" w:eastAsia="zh-CN" w:bidi="ar-SA"/>
              </w:rPr>
            </w:pPr>
            <w:r>
              <w:rPr>
                <w:rFonts w:hint="eastAsia" w:ascii="仿宋" w:hAnsi="仿宋" w:eastAsia="仿宋"/>
                <w:spacing w:val="-7"/>
                <w:w w:val="110"/>
                <w:sz w:val="22"/>
                <w:szCs w:val="22"/>
              </w:rPr>
              <w:t>省级三等奖</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F28B">
            <w:pPr>
              <w:widowControl/>
              <w:jc w:val="center"/>
              <w:textAlignment w:val="bottom"/>
              <w:rPr>
                <w:rFonts w:hint="eastAsia" w:ascii="仿宋" w:hAnsi="仿宋" w:eastAsia="仿宋" w:cs="Times New Roman"/>
                <w:spacing w:val="-7"/>
                <w:w w:val="110"/>
                <w:kern w:val="2"/>
                <w:sz w:val="22"/>
                <w:szCs w:val="22"/>
                <w:lang w:val="en-US" w:eastAsia="zh-CN" w:bidi="ar-SA"/>
              </w:rPr>
            </w:pPr>
            <w:r>
              <w:rPr>
                <w:rFonts w:hint="eastAsia" w:ascii="仿宋" w:hAnsi="仿宋" w:eastAsia="仿宋"/>
                <w:spacing w:val="-7"/>
                <w:w w:val="110"/>
                <w:sz w:val="22"/>
                <w:szCs w:val="22"/>
              </w:rPr>
              <w:t>2</w:t>
            </w:r>
            <w:r>
              <w:rPr>
                <w:rFonts w:ascii="仿宋" w:hAnsi="仿宋" w:eastAsia="仿宋"/>
                <w:spacing w:val="-7"/>
                <w:w w:val="110"/>
                <w:sz w:val="22"/>
                <w:szCs w:val="22"/>
              </w:rPr>
              <w:t>024</w:t>
            </w:r>
            <w:r>
              <w:rPr>
                <w:rFonts w:hint="eastAsia" w:ascii="仿宋" w:hAnsi="仿宋" w:eastAsia="仿宋"/>
                <w:spacing w:val="-7"/>
                <w:w w:val="110"/>
                <w:sz w:val="22"/>
                <w:szCs w:val="22"/>
                <w:lang w:val="en-US" w:eastAsia="zh-CN"/>
              </w:rPr>
              <w:t>.</w:t>
            </w:r>
            <w:r>
              <w:rPr>
                <w:rFonts w:ascii="仿宋" w:hAnsi="仿宋" w:eastAsia="仿宋"/>
                <w:spacing w:val="-7"/>
                <w:w w:val="110"/>
                <w:sz w:val="22"/>
                <w:szCs w:val="22"/>
              </w:rPr>
              <w:t>5</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CBFE">
            <w:pPr>
              <w:widowControl/>
              <w:jc w:val="center"/>
              <w:textAlignment w:val="bottom"/>
              <w:rPr>
                <w:rFonts w:hint="eastAsia" w:ascii="仿宋" w:hAnsi="仿宋" w:eastAsia="仿宋" w:cs="Times New Roman"/>
                <w:spacing w:val="-7"/>
                <w:w w:val="110"/>
                <w:kern w:val="2"/>
                <w:sz w:val="22"/>
                <w:szCs w:val="22"/>
                <w:lang w:val="en-US" w:eastAsia="zh-CN" w:bidi="ar-SA"/>
              </w:rPr>
            </w:pPr>
            <w:r>
              <w:rPr>
                <w:rFonts w:hint="eastAsia" w:ascii="仿宋" w:hAnsi="仿宋" w:eastAsia="仿宋"/>
                <w:spacing w:val="-7"/>
                <w:w w:val="110"/>
                <w:sz w:val="22"/>
                <w:szCs w:val="22"/>
              </w:rPr>
              <w:t>中国商业统计学会</w:t>
            </w:r>
          </w:p>
        </w:tc>
      </w:tr>
      <w:tr w14:paraId="1F65D7D6">
        <w:tblPrEx>
          <w:tblCellMar>
            <w:top w:w="0" w:type="dxa"/>
            <w:left w:w="108" w:type="dxa"/>
            <w:bottom w:w="0" w:type="dxa"/>
            <w:right w:w="108" w:type="dxa"/>
          </w:tblCellMar>
        </w:tblPrEx>
        <w:trPr>
          <w:trHeight w:val="4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0A48">
            <w:pPr>
              <w:widowControl/>
              <w:jc w:val="center"/>
              <w:textAlignment w:val="bottom"/>
              <w:rPr>
                <w:rFonts w:hint="eastAsia" w:ascii="仿宋" w:hAnsi="仿宋" w:eastAsia="仿宋" w:cs="Times New Roman"/>
                <w:spacing w:val="-7"/>
                <w:w w:val="110"/>
                <w:kern w:val="2"/>
                <w:sz w:val="22"/>
                <w:szCs w:val="22"/>
                <w:lang w:val="en-US" w:eastAsia="zh-CN" w:bidi="ar-SA"/>
              </w:rPr>
            </w:pPr>
            <w:r>
              <w:rPr>
                <w:rFonts w:hint="eastAsia" w:ascii="仿宋" w:hAnsi="仿宋" w:eastAsia="仿宋"/>
                <w:spacing w:val="-7"/>
                <w:w w:val="110"/>
                <w:sz w:val="22"/>
                <w:szCs w:val="22"/>
              </w:rPr>
              <w:t>8</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C1C3">
            <w:pPr>
              <w:widowControl/>
              <w:jc w:val="center"/>
              <w:textAlignment w:val="bottom"/>
              <w:rPr>
                <w:rFonts w:hint="eastAsia" w:ascii="仿宋" w:hAnsi="仿宋" w:eastAsia="仿宋" w:cs="Times New Roman"/>
                <w:spacing w:val="-7"/>
                <w:w w:val="110"/>
                <w:kern w:val="2"/>
                <w:sz w:val="22"/>
                <w:szCs w:val="22"/>
                <w:lang w:val="en-US" w:eastAsia="zh-CN" w:bidi="ar-SA"/>
              </w:rPr>
            </w:pPr>
            <w:r>
              <w:rPr>
                <w:rFonts w:hint="eastAsia" w:ascii="仿宋" w:hAnsi="仿宋" w:eastAsia="仿宋"/>
                <w:spacing w:val="-7"/>
                <w:w w:val="110"/>
                <w:sz w:val="22"/>
                <w:szCs w:val="22"/>
              </w:rPr>
              <w:t>正大杯第十四届大学生全国市场调查与分析大赛</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2315">
            <w:pPr>
              <w:widowControl/>
              <w:jc w:val="center"/>
              <w:textAlignment w:val="bottom"/>
              <w:rPr>
                <w:rFonts w:hint="eastAsia" w:ascii="仿宋" w:hAnsi="仿宋" w:eastAsia="仿宋" w:cs="Times New Roman"/>
                <w:spacing w:val="-7"/>
                <w:w w:val="110"/>
                <w:kern w:val="2"/>
                <w:sz w:val="22"/>
                <w:szCs w:val="22"/>
                <w:lang w:val="en-US" w:eastAsia="zh-CN" w:bidi="ar-SA"/>
              </w:rPr>
            </w:pPr>
            <w:r>
              <w:rPr>
                <w:rFonts w:hint="eastAsia" w:ascii="仿宋" w:hAnsi="仿宋" w:eastAsia="仿宋"/>
                <w:spacing w:val="-7"/>
                <w:w w:val="110"/>
                <w:sz w:val="22"/>
                <w:szCs w:val="22"/>
              </w:rPr>
              <w:t>刘庚、仰玉婷、陈熙、刘叶</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BB7B">
            <w:pPr>
              <w:widowControl/>
              <w:jc w:val="center"/>
              <w:textAlignment w:val="bottom"/>
              <w:rPr>
                <w:rFonts w:hint="eastAsia" w:ascii="仿宋" w:hAnsi="仿宋" w:eastAsia="仿宋" w:cs="Times New Roman"/>
                <w:spacing w:val="-7"/>
                <w:w w:val="110"/>
                <w:kern w:val="2"/>
                <w:sz w:val="22"/>
                <w:szCs w:val="22"/>
                <w:lang w:val="en-US" w:eastAsia="zh-CN" w:bidi="ar-SA"/>
              </w:rPr>
            </w:pPr>
            <w:r>
              <w:rPr>
                <w:rFonts w:hint="eastAsia" w:ascii="仿宋" w:hAnsi="仿宋" w:eastAsia="仿宋"/>
                <w:spacing w:val="-7"/>
                <w:w w:val="110"/>
                <w:sz w:val="22"/>
                <w:szCs w:val="22"/>
              </w:rPr>
              <w:t>省级三等奖</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D4F9">
            <w:pPr>
              <w:widowControl/>
              <w:jc w:val="center"/>
              <w:textAlignment w:val="bottom"/>
              <w:rPr>
                <w:rFonts w:hint="eastAsia" w:ascii="仿宋" w:hAnsi="仿宋" w:eastAsia="仿宋" w:cs="Times New Roman"/>
                <w:spacing w:val="-7"/>
                <w:w w:val="110"/>
                <w:kern w:val="2"/>
                <w:sz w:val="22"/>
                <w:szCs w:val="22"/>
                <w:lang w:val="en-US" w:eastAsia="zh-CN" w:bidi="ar-SA"/>
              </w:rPr>
            </w:pPr>
            <w:r>
              <w:rPr>
                <w:rFonts w:hint="eastAsia" w:ascii="仿宋" w:hAnsi="仿宋" w:eastAsia="仿宋"/>
                <w:spacing w:val="-7"/>
                <w:w w:val="110"/>
                <w:sz w:val="22"/>
                <w:szCs w:val="22"/>
              </w:rPr>
              <w:t>2</w:t>
            </w:r>
            <w:r>
              <w:rPr>
                <w:rFonts w:ascii="仿宋" w:hAnsi="仿宋" w:eastAsia="仿宋"/>
                <w:spacing w:val="-7"/>
                <w:w w:val="110"/>
                <w:sz w:val="22"/>
                <w:szCs w:val="22"/>
              </w:rPr>
              <w:t>024</w:t>
            </w:r>
            <w:r>
              <w:rPr>
                <w:rFonts w:hint="eastAsia" w:ascii="仿宋" w:hAnsi="仿宋" w:eastAsia="仿宋"/>
                <w:spacing w:val="-7"/>
                <w:w w:val="110"/>
                <w:sz w:val="22"/>
                <w:szCs w:val="22"/>
                <w:lang w:val="en-US" w:eastAsia="zh-CN"/>
              </w:rPr>
              <w:t>.</w:t>
            </w:r>
            <w:r>
              <w:rPr>
                <w:rFonts w:ascii="仿宋" w:hAnsi="仿宋" w:eastAsia="仿宋"/>
                <w:spacing w:val="-7"/>
                <w:w w:val="110"/>
                <w:sz w:val="22"/>
                <w:szCs w:val="22"/>
              </w:rPr>
              <w:t>5</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2BBB">
            <w:pPr>
              <w:widowControl/>
              <w:jc w:val="center"/>
              <w:textAlignment w:val="bottom"/>
              <w:rPr>
                <w:rFonts w:hint="eastAsia" w:ascii="仿宋" w:hAnsi="仿宋" w:eastAsia="仿宋" w:cs="Times New Roman"/>
                <w:spacing w:val="-7"/>
                <w:w w:val="110"/>
                <w:kern w:val="2"/>
                <w:sz w:val="22"/>
                <w:szCs w:val="22"/>
                <w:lang w:val="en-US" w:eastAsia="zh-CN" w:bidi="ar-SA"/>
              </w:rPr>
            </w:pPr>
            <w:r>
              <w:rPr>
                <w:rFonts w:hint="eastAsia" w:ascii="仿宋" w:hAnsi="仿宋" w:eastAsia="仿宋"/>
                <w:spacing w:val="-7"/>
                <w:w w:val="110"/>
                <w:sz w:val="22"/>
                <w:szCs w:val="22"/>
              </w:rPr>
              <w:t>中国商业统计学会</w:t>
            </w:r>
          </w:p>
        </w:tc>
      </w:tr>
      <w:tr w14:paraId="4B0F1FD1">
        <w:tblPrEx>
          <w:tblCellMar>
            <w:top w:w="0" w:type="dxa"/>
            <w:left w:w="108" w:type="dxa"/>
            <w:bottom w:w="0" w:type="dxa"/>
            <w:right w:w="108" w:type="dxa"/>
          </w:tblCellMar>
        </w:tblPrEx>
        <w:trPr>
          <w:trHeight w:val="4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DA12">
            <w:pPr>
              <w:widowControl/>
              <w:jc w:val="center"/>
              <w:textAlignment w:val="bottom"/>
              <w:rPr>
                <w:rFonts w:hint="eastAsia" w:ascii="仿宋" w:hAnsi="仿宋" w:eastAsia="仿宋" w:cs="Times New Roman"/>
                <w:spacing w:val="-7"/>
                <w:w w:val="110"/>
                <w:kern w:val="2"/>
                <w:sz w:val="22"/>
                <w:szCs w:val="22"/>
                <w:lang w:val="en-US" w:eastAsia="zh-CN" w:bidi="ar-SA"/>
              </w:rPr>
            </w:pPr>
            <w:r>
              <w:rPr>
                <w:rFonts w:hint="eastAsia" w:ascii="仿宋" w:hAnsi="仿宋" w:eastAsia="仿宋"/>
                <w:spacing w:val="-7"/>
                <w:w w:val="110"/>
                <w:sz w:val="22"/>
                <w:szCs w:val="22"/>
              </w:rPr>
              <w:t>9</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1FE4">
            <w:pPr>
              <w:widowControl/>
              <w:jc w:val="center"/>
              <w:textAlignment w:val="bottom"/>
              <w:rPr>
                <w:rFonts w:hint="eastAsia" w:ascii="仿宋" w:hAnsi="仿宋" w:eastAsia="仿宋" w:cs="Times New Roman"/>
                <w:spacing w:val="-7"/>
                <w:w w:val="110"/>
                <w:kern w:val="2"/>
                <w:sz w:val="22"/>
                <w:szCs w:val="22"/>
                <w:lang w:val="en-US" w:eastAsia="zh-CN" w:bidi="ar-SA"/>
              </w:rPr>
            </w:pPr>
            <w:r>
              <w:rPr>
                <w:rFonts w:hint="eastAsia" w:ascii="仿宋" w:hAnsi="仿宋" w:eastAsia="仿宋"/>
                <w:spacing w:val="-7"/>
                <w:w w:val="110"/>
                <w:sz w:val="22"/>
                <w:szCs w:val="22"/>
              </w:rPr>
              <w:t>湖南省第八届MBA企业案例大赛</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1208">
            <w:pPr>
              <w:widowControl/>
              <w:jc w:val="center"/>
              <w:textAlignment w:val="bottom"/>
              <w:rPr>
                <w:rFonts w:hint="eastAsia" w:ascii="仿宋" w:hAnsi="仿宋" w:eastAsia="仿宋" w:cs="Times New Roman"/>
                <w:spacing w:val="-7"/>
                <w:w w:val="110"/>
                <w:kern w:val="2"/>
                <w:sz w:val="22"/>
                <w:szCs w:val="22"/>
                <w:lang w:val="en-US" w:eastAsia="zh-CN" w:bidi="ar-SA"/>
              </w:rPr>
            </w:pPr>
            <w:r>
              <w:rPr>
                <w:rFonts w:hint="eastAsia" w:ascii="仿宋" w:hAnsi="仿宋" w:eastAsia="仿宋"/>
                <w:spacing w:val="-7"/>
                <w:w w:val="110"/>
                <w:sz w:val="22"/>
                <w:szCs w:val="22"/>
              </w:rPr>
              <w:t>岳婉君、邵琪、袁鑫梦、石雨晴、盛家附、李毅杨、周婷、王馨琦、李璇</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35E9">
            <w:pPr>
              <w:widowControl/>
              <w:jc w:val="center"/>
              <w:textAlignment w:val="bottom"/>
              <w:rPr>
                <w:rFonts w:hint="eastAsia" w:ascii="仿宋" w:hAnsi="仿宋" w:eastAsia="仿宋" w:cs="Times New Roman"/>
                <w:spacing w:val="-7"/>
                <w:w w:val="110"/>
                <w:kern w:val="2"/>
                <w:sz w:val="22"/>
                <w:szCs w:val="22"/>
                <w:lang w:val="en-US" w:eastAsia="zh-CN" w:bidi="ar-SA"/>
              </w:rPr>
            </w:pPr>
            <w:r>
              <w:rPr>
                <w:rFonts w:hint="eastAsia" w:ascii="仿宋" w:hAnsi="仿宋" w:eastAsia="仿宋"/>
                <w:spacing w:val="-7"/>
                <w:w w:val="110"/>
                <w:sz w:val="22"/>
                <w:szCs w:val="22"/>
              </w:rPr>
              <w:t>省级三等奖</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F398">
            <w:pPr>
              <w:widowControl/>
              <w:jc w:val="center"/>
              <w:textAlignment w:val="bottom"/>
              <w:rPr>
                <w:rFonts w:hint="eastAsia" w:ascii="仿宋" w:hAnsi="仿宋" w:eastAsia="仿宋" w:cs="Times New Roman"/>
                <w:spacing w:val="-7"/>
                <w:w w:val="110"/>
                <w:kern w:val="2"/>
                <w:sz w:val="22"/>
                <w:szCs w:val="22"/>
                <w:lang w:val="en-US" w:eastAsia="zh-CN" w:bidi="ar-SA"/>
              </w:rPr>
            </w:pPr>
            <w:r>
              <w:rPr>
                <w:rFonts w:hint="eastAsia" w:ascii="仿宋" w:hAnsi="仿宋" w:eastAsia="仿宋"/>
                <w:spacing w:val="-7"/>
                <w:w w:val="110"/>
                <w:sz w:val="22"/>
                <w:szCs w:val="22"/>
              </w:rPr>
              <w:t>2</w:t>
            </w:r>
            <w:r>
              <w:rPr>
                <w:rFonts w:ascii="仿宋" w:hAnsi="仿宋" w:eastAsia="仿宋"/>
                <w:spacing w:val="-7"/>
                <w:w w:val="110"/>
                <w:sz w:val="22"/>
                <w:szCs w:val="22"/>
              </w:rPr>
              <w:t>024</w:t>
            </w:r>
            <w:r>
              <w:rPr>
                <w:rFonts w:hint="eastAsia" w:ascii="仿宋" w:hAnsi="仿宋" w:eastAsia="仿宋"/>
                <w:spacing w:val="-7"/>
                <w:w w:val="110"/>
                <w:sz w:val="22"/>
                <w:szCs w:val="22"/>
                <w:lang w:val="en-US" w:eastAsia="zh-CN"/>
              </w:rPr>
              <w:t>.</w:t>
            </w:r>
            <w:r>
              <w:rPr>
                <w:rFonts w:ascii="仿宋" w:hAnsi="仿宋" w:eastAsia="仿宋"/>
                <w:spacing w:val="-7"/>
                <w:w w:val="110"/>
                <w:sz w:val="22"/>
                <w:szCs w:val="22"/>
              </w:rPr>
              <w:t>12</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9207">
            <w:pPr>
              <w:widowControl/>
              <w:jc w:val="center"/>
              <w:textAlignment w:val="bottom"/>
              <w:rPr>
                <w:rFonts w:hint="eastAsia" w:ascii="仿宋" w:hAnsi="仿宋" w:eastAsia="仿宋" w:cs="Times New Roman"/>
                <w:spacing w:val="-7"/>
                <w:w w:val="110"/>
                <w:kern w:val="2"/>
                <w:sz w:val="22"/>
                <w:szCs w:val="22"/>
                <w:lang w:val="en-US" w:eastAsia="zh-CN" w:bidi="ar-SA"/>
              </w:rPr>
            </w:pPr>
            <w:r>
              <w:rPr>
                <w:rFonts w:hint="eastAsia" w:ascii="仿宋" w:hAnsi="仿宋" w:eastAsia="仿宋"/>
                <w:spacing w:val="-7"/>
                <w:w w:val="110"/>
                <w:sz w:val="22"/>
                <w:szCs w:val="22"/>
              </w:rPr>
              <w:t>湖南省教育厅</w:t>
            </w:r>
          </w:p>
        </w:tc>
      </w:tr>
    </w:tbl>
    <w:p w14:paraId="152DB6C3">
      <w:pPr>
        <w:snapToGrid w:val="0"/>
        <w:spacing w:line="360" w:lineRule="auto"/>
        <w:rPr>
          <w:rFonts w:hint="eastAsia" w:ascii="仿宋" w:hAnsi="仿宋" w:eastAsia="仿宋" w:cs="仿宋"/>
          <w:sz w:val="28"/>
          <w:szCs w:val="28"/>
        </w:rPr>
      </w:pPr>
    </w:p>
    <w:bookmarkEnd w:id="37"/>
    <w:p w14:paraId="53857A5C">
      <w:pPr>
        <w:pStyle w:val="6"/>
        <w:snapToGrid w:val="0"/>
        <w:spacing w:before="0" w:after="0" w:line="360" w:lineRule="auto"/>
        <w:ind w:firstLine="662" w:firstLineChars="200"/>
        <w:rPr>
          <w:rFonts w:ascii="仿宋" w:hAnsi="仿宋" w:eastAsia="仿宋"/>
          <w:w w:val="110"/>
          <w:sz w:val="30"/>
          <w:szCs w:val="30"/>
        </w:rPr>
      </w:pPr>
      <w:bookmarkStart w:id="38" w:name="_Toc92275551"/>
      <w:bookmarkStart w:id="39" w:name="_Hlk92202529"/>
      <w:r>
        <w:rPr>
          <w:rFonts w:hint="eastAsia" w:ascii="仿宋" w:hAnsi="仿宋" w:eastAsia="仿宋"/>
          <w:w w:val="110"/>
          <w:sz w:val="30"/>
          <w:szCs w:val="30"/>
        </w:rPr>
        <w:t>2.教师队伍建设情况</w:t>
      </w:r>
      <w:bookmarkEnd w:id="38"/>
      <w:bookmarkEnd w:id="39"/>
    </w:p>
    <w:p w14:paraId="42B406DF">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年度学位点严格按照学院研究生培养的需要，遴选思想政治素质过硬、学术科研能力强、有责任心的博士或高级职称的专家学者成为硕士生导师。经严格规范程序筛选，本年度学位点新聘任了校内导师3名，校外实践导师</w:t>
      </w:r>
      <w:r>
        <w:rPr>
          <w:rFonts w:ascii="仿宋" w:hAnsi="仿宋" w:eastAsia="仿宋" w:cs="仿宋"/>
          <w:sz w:val="28"/>
          <w:szCs w:val="28"/>
        </w:rPr>
        <w:t>1</w:t>
      </w:r>
      <w:r>
        <w:rPr>
          <w:rFonts w:hint="eastAsia" w:ascii="仿宋" w:hAnsi="仿宋" w:eastAsia="仿宋" w:cs="仿宋"/>
          <w:sz w:val="28"/>
          <w:szCs w:val="28"/>
        </w:rPr>
        <w:t>名，均具有博士学位。目前已有导师</w:t>
      </w:r>
      <w:r>
        <w:rPr>
          <w:rFonts w:ascii="仿宋" w:hAnsi="仿宋" w:eastAsia="仿宋" w:cs="仿宋"/>
          <w:sz w:val="28"/>
          <w:szCs w:val="28"/>
        </w:rPr>
        <w:t>14</w:t>
      </w:r>
      <w:r>
        <w:rPr>
          <w:rFonts w:hint="eastAsia" w:ascii="仿宋" w:hAnsi="仿宋" w:eastAsia="仿宋" w:cs="仿宋"/>
          <w:sz w:val="28"/>
          <w:szCs w:val="28"/>
        </w:rPr>
        <w:t>名，专任教师</w:t>
      </w:r>
      <w:r>
        <w:rPr>
          <w:rFonts w:ascii="仿宋" w:hAnsi="仿宋" w:eastAsia="仿宋" w:cs="仿宋"/>
          <w:sz w:val="28"/>
          <w:szCs w:val="28"/>
        </w:rPr>
        <w:t>35</w:t>
      </w:r>
      <w:r>
        <w:rPr>
          <w:rFonts w:hint="eastAsia" w:ascii="仿宋" w:hAnsi="仿宋" w:eastAsia="仿宋" w:cs="仿宋"/>
          <w:sz w:val="28"/>
          <w:szCs w:val="28"/>
        </w:rPr>
        <w:t>名，分布于旅游管理、企业管理、技术经济管理及会计学4个专业方向。</w:t>
      </w:r>
    </w:p>
    <w:p w14:paraId="0F785EA0">
      <w:pPr>
        <w:snapToGrid w:val="0"/>
        <w:spacing w:line="360" w:lineRule="auto"/>
        <w:ind w:firstLine="560" w:firstLineChars="200"/>
        <w:rPr>
          <w:rFonts w:ascii="仿宋" w:hAnsi="仿宋" w:eastAsia="仿宋" w:cs="仿宋"/>
          <w:sz w:val="30"/>
          <w:szCs w:val="30"/>
        </w:rPr>
      </w:pPr>
      <w:r>
        <w:rPr>
          <w:rFonts w:hint="eastAsia" w:ascii="仿宋" w:hAnsi="仿宋" w:eastAsia="仿宋" w:cs="仿宋"/>
          <w:sz w:val="28"/>
          <w:szCs w:val="28"/>
        </w:rPr>
        <w:t>同时，学位点坚持已有导师的培养与培训，共举办了以“正师德师风”等为主题的导师培训活动多场。所有新聘导师均实现了培训上岗，老导师被聘湖南省普通高校本科教育指导委员会委员2人，获评湖南省高校黄大年式教学团队1个。</w:t>
      </w:r>
    </w:p>
    <w:p w14:paraId="17D2C9CA">
      <w:pPr>
        <w:pStyle w:val="6"/>
        <w:snapToGrid w:val="0"/>
        <w:spacing w:before="0" w:after="0" w:line="360" w:lineRule="auto"/>
        <w:ind w:firstLine="662" w:firstLineChars="200"/>
        <w:rPr>
          <w:rFonts w:ascii="仿宋" w:hAnsi="仿宋" w:eastAsia="仿宋"/>
          <w:w w:val="110"/>
          <w:sz w:val="30"/>
          <w:szCs w:val="30"/>
        </w:rPr>
      </w:pPr>
      <w:bookmarkStart w:id="40" w:name="_Toc92275552"/>
      <w:bookmarkStart w:id="41" w:name="_Hlk92202707"/>
      <w:r>
        <w:rPr>
          <w:rFonts w:hint="eastAsia" w:ascii="仿宋" w:hAnsi="仿宋" w:eastAsia="仿宋"/>
          <w:w w:val="110"/>
          <w:sz w:val="30"/>
          <w:szCs w:val="30"/>
        </w:rPr>
        <w:t>3.科学研究情况</w:t>
      </w:r>
      <w:bookmarkEnd w:id="40"/>
    </w:p>
    <w:bookmarkEnd w:id="41"/>
    <w:p w14:paraId="2882E0DE">
      <w:pPr>
        <w:snapToGrid w:val="0"/>
        <w:spacing w:line="360" w:lineRule="auto"/>
        <w:ind w:firstLine="588" w:firstLineChars="200"/>
        <w:rPr>
          <w:rFonts w:hint="eastAsia" w:ascii="仿宋" w:hAnsi="仿宋" w:eastAsia="仿宋"/>
          <w:color w:val="auto"/>
          <w:spacing w:val="-7"/>
          <w:w w:val="110"/>
          <w:sz w:val="28"/>
          <w:szCs w:val="28"/>
          <w:lang w:val="en-US" w:eastAsia="zh-CN"/>
        </w:rPr>
      </w:pPr>
      <w:bookmarkStart w:id="42" w:name="_Toc92275553"/>
      <w:bookmarkStart w:id="43" w:name="_Hlk92202834"/>
      <w:r>
        <w:rPr>
          <w:rFonts w:hint="eastAsia" w:ascii="仿宋" w:hAnsi="仿宋" w:eastAsia="仿宋"/>
          <w:color w:val="auto"/>
          <w:spacing w:val="-7"/>
          <w:w w:val="110"/>
          <w:sz w:val="28"/>
          <w:szCs w:val="28"/>
          <w:lang w:val="en-US" w:eastAsia="zh-CN"/>
        </w:rPr>
        <w:t>本年度学位点教师在SSCI、CSSCI、SCI、北大核心等权威核心期刊发表学术论文14篇，出版专著2部，学位点教师获批主持国家自科基金项目1项、国家社科基金项目1项，新增主持湖南省社会科学评审委员会重大课题、湖南省社科基金重点项目等省部级以上纵向项目11项、湖南省教育厅项目7项。同时，积极应用科研成果推进教学改革，教师获批1项湖南省研究生优秀教学案例、4项吉首大学研究生优秀教学案例。</w:t>
      </w:r>
    </w:p>
    <w:p w14:paraId="32A67878">
      <w:pPr>
        <w:snapToGrid w:val="0"/>
        <w:spacing w:line="360" w:lineRule="auto"/>
        <w:ind w:firstLine="588" w:firstLineChars="200"/>
        <w:rPr>
          <w:rFonts w:hint="eastAsia" w:ascii="仿宋" w:hAnsi="仿宋" w:eastAsia="仿宋"/>
          <w:color w:val="auto"/>
          <w:spacing w:val="-7"/>
          <w:w w:val="110"/>
          <w:sz w:val="28"/>
          <w:szCs w:val="28"/>
          <w:lang w:val="en-US" w:eastAsia="zh-CN"/>
        </w:rPr>
      </w:pPr>
      <w:r>
        <w:rPr>
          <w:rFonts w:hint="eastAsia" w:ascii="仿宋" w:hAnsi="仿宋" w:eastAsia="仿宋"/>
          <w:color w:val="auto"/>
          <w:spacing w:val="-7"/>
          <w:w w:val="110"/>
          <w:sz w:val="28"/>
          <w:szCs w:val="28"/>
          <w:lang w:val="en-US" w:eastAsia="zh-CN"/>
        </w:rPr>
        <w:t>学位点研究生在完成学位授予的论文要求的同时，积极开展学术论文写作与发表，2024年度本学位点研究生共发表论文23篇，其中CSSCI/北大核心来源期刊论文4篇。</w:t>
      </w:r>
    </w:p>
    <w:p w14:paraId="1C0A71B3">
      <w:pPr>
        <w:snapToGrid w:val="0"/>
        <w:spacing w:line="360" w:lineRule="auto"/>
        <w:jc w:val="center"/>
        <w:rPr>
          <w:rFonts w:hint="eastAsia" w:ascii="仿宋" w:hAnsi="仿宋" w:eastAsia="仿宋" w:cs="仿宋"/>
          <w:spacing w:val="-7"/>
          <w:w w:val="110"/>
          <w:sz w:val="24"/>
          <w:szCs w:val="24"/>
          <w:lang w:val="en-US" w:eastAsia="zh-CN"/>
        </w:rPr>
      </w:pPr>
      <w:r>
        <w:rPr>
          <w:rFonts w:hint="eastAsia" w:ascii="仿宋" w:hAnsi="仿宋" w:eastAsia="仿宋" w:cs="仿宋"/>
          <w:spacing w:val="-7"/>
          <w:w w:val="110"/>
          <w:sz w:val="24"/>
          <w:szCs w:val="24"/>
          <w:lang w:val="en-US" w:eastAsia="zh-CN"/>
        </w:rPr>
        <w:t>表3  2024年研究生发表高水平科研论文统计表</w:t>
      </w:r>
    </w:p>
    <w:tbl>
      <w:tblPr>
        <w:tblStyle w:val="15"/>
        <w:tblW w:w="8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71"/>
        <w:gridCol w:w="4043"/>
        <w:gridCol w:w="1685"/>
        <w:gridCol w:w="1188"/>
      </w:tblGrid>
      <w:tr w14:paraId="2786C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shd w:val="clear" w:color="auto" w:fill="auto"/>
            <w:vAlign w:val="center"/>
          </w:tcPr>
          <w:p w14:paraId="20B582FA">
            <w:pPr>
              <w:keepNext w:val="0"/>
              <w:keepLines w:val="0"/>
              <w:widowControl/>
              <w:suppressLineNumbers w:val="0"/>
              <w:jc w:val="center"/>
              <w:textAlignment w:val="center"/>
              <w:rPr>
                <w:rFonts w:hint="default"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序号</w:t>
            </w:r>
          </w:p>
        </w:tc>
        <w:tc>
          <w:tcPr>
            <w:tcW w:w="971" w:type="dxa"/>
            <w:shd w:val="clear" w:color="auto" w:fill="auto"/>
            <w:vAlign w:val="center"/>
          </w:tcPr>
          <w:p w14:paraId="79DED96F">
            <w:pPr>
              <w:keepNext w:val="0"/>
              <w:keepLines w:val="0"/>
              <w:widowControl/>
              <w:suppressLineNumbers w:val="0"/>
              <w:jc w:val="center"/>
              <w:textAlignment w:val="center"/>
              <w:rPr>
                <w:rFonts w:hint="eastAsia" w:ascii="仿宋" w:hAnsi="仿宋" w:eastAsia="仿宋" w:cs="仿宋"/>
                <w:b/>
                <w:bCs/>
                <w:i w:val="0"/>
                <w:iCs w:val="0"/>
                <w:color w:val="000000"/>
                <w:kern w:val="2"/>
                <w:sz w:val="20"/>
                <w:szCs w:val="20"/>
                <w:u w:val="none"/>
                <w:lang w:val="en-US" w:eastAsia="zh-CN" w:bidi="ar-SA"/>
              </w:rPr>
            </w:pPr>
            <w:r>
              <w:rPr>
                <w:rFonts w:hint="eastAsia" w:ascii="仿宋" w:hAnsi="仿宋" w:eastAsia="仿宋" w:cs="仿宋"/>
                <w:b/>
                <w:bCs/>
                <w:i w:val="0"/>
                <w:iCs w:val="0"/>
                <w:color w:val="000000"/>
                <w:kern w:val="0"/>
                <w:sz w:val="20"/>
                <w:szCs w:val="20"/>
                <w:u w:val="none"/>
                <w:lang w:val="en-US" w:eastAsia="zh-CN" w:bidi="ar"/>
              </w:rPr>
              <w:t>作者</w:t>
            </w:r>
          </w:p>
        </w:tc>
        <w:tc>
          <w:tcPr>
            <w:tcW w:w="4043" w:type="dxa"/>
            <w:shd w:val="clear" w:color="auto" w:fill="auto"/>
            <w:vAlign w:val="center"/>
          </w:tcPr>
          <w:p w14:paraId="5C5E6251">
            <w:pPr>
              <w:keepNext w:val="0"/>
              <w:keepLines w:val="0"/>
              <w:widowControl/>
              <w:suppressLineNumbers w:val="0"/>
              <w:jc w:val="center"/>
              <w:textAlignment w:val="center"/>
              <w:rPr>
                <w:rFonts w:hint="eastAsia" w:ascii="仿宋" w:hAnsi="仿宋" w:eastAsia="仿宋" w:cs="仿宋"/>
                <w:b/>
                <w:bCs/>
                <w:i w:val="0"/>
                <w:iCs w:val="0"/>
                <w:color w:val="000000"/>
                <w:kern w:val="2"/>
                <w:sz w:val="20"/>
                <w:szCs w:val="20"/>
                <w:u w:val="none"/>
                <w:lang w:val="en-US" w:eastAsia="zh-CN" w:bidi="ar-SA"/>
              </w:rPr>
            </w:pPr>
            <w:r>
              <w:rPr>
                <w:rFonts w:hint="eastAsia" w:ascii="仿宋" w:hAnsi="仿宋" w:eastAsia="仿宋" w:cs="仿宋"/>
                <w:b/>
                <w:bCs/>
                <w:i w:val="0"/>
                <w:iCs w:val="0"/>
                <w:color w:val="000000"/>
                <w:kern w:val="0"/>
                <w:sz w:val="20"/>
                <w:szCs w:val="20"/>
                <w:u w:val="none"/>
                <w:lang w:val="en-US" w:eastAsia="zh-CN" w:bidi="ar"/>
              </w:rPr>
              <w:t>论文名称</w:t>
            </w:r>
          </w:p>
        </w:tc>
        <w:tc>
          <w:tcPr>
            <w:tcW w:w="1685" w:type="dxa"/>
            <w:shd w:val="clear" w:color="auto" w:fill="auto"/>
            <w:vAlign w:val="center"/>
          </w:tcPr>
          <w:p w14:paraId="1D03B0C3">
            <w:pPr>
              <w:keepNext w:val="0"/>
              <w:keepLines w:val="0"/>
              <w:widowControl/>
              <w:suppressLineNumbers w:val="0"/>
              <w:jc w:val="center"/>
              <w:textAlignment w:val="center"/>
              <w:rPr>
                <w:rFonts w:hint="eastAsia" w:ascii="仿宋" w:hAnsi="仿宋" w:eastAsia="仿宋" w:cs="仿宋"/>
                <w:b/>
                <w:bCs/>
                <w:i w:val="0"/>
                <w:iCs w:val="0"/>
                <w:color w:val="000000"/>
                <w:kern w:val="2"/>
                <w:sz w:val="20"/>
                <w:szCs w:val="20"/>
                <w:u w:val="none"/>
                <w:lang w:val="en-US" w:eastAsia="zh-CN" w:bidi="ar-SA"/>
              </w:rPr>
            </w:pPr>
            <w:r>
              <w:rPr>
                <w:rFonts w:hint="eastAsia" w:ascii="仿宋" w:hAnsi="仿宋" w:eastAsia="仿宋" w:cs="仿宋"/>
                <w:b/>
                <w:bCs/>
                <w:i w:val="0"/>
                <w:iCs w:val="0"/>
                <w:color w:val="000000"/>
                <w:kern w:val="0"/>
                <w:sz w:val="20"/>
                <w:szCs w:val="20"/>
                <w:u w:val="none"/>
                <w:lang w:val="en-US" w:eastAsia="zh-CN" w:bidi="ar"/>
              </w:rPr>
              <w:t>期刊名称</w:t>
            </w:r>
          </w:p>
        </w:tc>
        <w:tc>
          <w:tcPr>
            <w:tcW w:w="1188" w:type="dxa"/>
            <w:shd w:val="clear" w:color="auto" w:fill="auto"/>
            <w:vAlign w:val="center"/>
          </w:tcPr>
          <w:p w14:paraId="151E8C45">
            <w:pPr>
              <w:keepNext w:val="0"/>
              <w:keepLines w:val="0"/>
              <w:widowControl/>
              <w:suppressLineNumbers w:val="0"/>
              <w:jc w:val="center"/>
              <w:textAlignment w:val="center"/>
              <w:rPr>
                <w:rFonts w:hint="eastAsia" w:ascii="仿宋" w:hAnsi="仿宋" w:eastAsia="仿宋" w:cs="仿宋"/>
                <w:b/>
                <w:bCs/>
                <w:i w:val="0"/>
                <w:iCs w:val="0"/>
                <w:color w:val="000000"/>
                <w:kern w:val="2"/>
                <w:sz w:val="20"/>
                <w:szCs w:val="20"/>
                <w:u w:val="none"/>
                <w:lang w:val="en-US" w:eastAsia="zh-CN" w:bidi="ar-SA"/>
              </w:rPr>
            </w:pPr>
            <w:r>
              <w:rPr>
                <w:rFonts w:hint="eastAsia" w:ascii="仿宋" w:hAnsi="仿宋" w:eastAsia="仿宋" w:cs="仿宋"/>
                <w:b/>
                <w:bCs/>
                <w:i w:val="0"/>
                <w:iCs w:val="0"/>
                <w:color w:val="000000"/>
                <w:kern w:val="0"/>
                <w:sz w:val="20"/>
                <w:szCs w:val="20"/>
                <w:u w:val="none"/>
                <w:lang w:val="en-US" w:eastAsia="zh-CN" w:bidi="ar"/>
              </w:rPr>
              <w:t>发表时间</w:t>
            </w:r>
          </w:p>
        </w:tc>
      </w:tr>
      <w:tr w14:paraId="2C961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shd w:val="clear" w:color="auto" w:fill="auto"/>
            <w:vAlign w:val="center"/>
          </w:tcPr>
          <w:p w14:paraId="1D538537">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971" w:type="dxa"/>
            <w:shd w:val="clear" w:color="auto" w:fill="auto"/>
            <w:vAlign w:val="center"/>
          </w:tcPr>
          <w:p w14:paraId="666CCBC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刘倩</w:t>
            </w:r>
          </w:p>
        </w:tc>
        <w:tc>
          <w:tcPr>
            <w:tcW w:w="4043" w:type="dxa"/>
            <w:shd w:val="clear" w:color="auto" w:fill="auto"/>
            <w:vAlign w:val="center"/>
          </w:tcPr>
          <w:p w14:paraId="77BDCAA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绿色转型与企业成本粘性</w:t>
            </w:r>
          </w:p>
        </w:tc>
        <w:tc>
          <w:tcPr>
            <w:tcW w:w="1685" w:type="dxa"/>
            <w:shd w:val="clear" w:color="auto" w:fill="auto"/>
            <w:vAlign w:val="center"/>
          </w:tcPr>
          <w:p w14:paraId="5CA32B14">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财会月刊</w:t>
            </w:r>
          </w:p>
        </w:tc>
        <w:tc>
          <w:tcPr>
            <w:tcW w:w="1188" w:type="dxa"/>
            <w:shd w:val="clear" w:color="auto" w:fill="auto"/>
            <w:vAlign w:val="center"/>
          </w:tcPr>
          <w:p w14:paraId="6D7BDC6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2024.01</w:t>
            </w:r>
          </w:p>
        </w:tc>
      </w:tr>
      <w:tr w14:paraId="1B5E1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shd w:val="clear" w:color="auto" w:fill="auto"/>
            <w:vAlign w:val="center"/>
          </w:tcPr>
          <w:p w14:paraId="490DAD91">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971" w:type="dxa"/>
            <w:shd w:val="clear" w:color="auto" w:fill="auto"/>
            <w:vAlign w:val="center"/>
          </w:tcPr>
          <w:p w14:paraId="1C5118A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常乐</w:t>
            </w:r>
          </w:p>
        </w:tc>
        <w:tc>
          <w:tcPr>
            <w:tcW w:w="4043" w:type="dxa"/>
            <w:shd w:val="clear" w:color="auto" w:fill="auto"/>
            <w:vAlign w:val="center"/>
          </w:tcPr>
          <w:p w14:paraId="4CF5947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多重制度逻辑下新型农村集体经济的治理机制研究——基于模糊集定性比较分析</w:t>
            </w:r>
          </w:p>
        </w:tc>
        <w:tc>
          <w:tcPr>
            <w:tcW w:w="1685" w:type="dxa"/>
            <w:shd w:val="clear" w:color="auto" w:fill="auto"/>
            <w:vAlign w:val="center"/>
          </w:tcPr>
          <w:p w14:paraId="0ACE964C">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农业经济与管理</w:t>
            </w:r>
          </w:p>
        </w:tc>
        <w:tc>
          <w:tcPr>
            <w:tcW w:w="1188" w:type="dxa"/>
            <w:shd w:val="clear" w:color="auto" w:fill="auto"/>
            <w:vAlign w:val="center"/>
          </w:tcPr>
          <w:p w14:paraId="42599B2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2024.03</w:t>
            </w:r>
          </w:p>
        </w:tc>
      </w:tr>
      <w:tr w14:paraId="0935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shd w:val="clear" w:color="auto" w:fill="auto"/>
            <w:vAlign w:val="center"/>
          </w:tcPr>
          <w:p w14:paraId="7843A33F">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w:t>
            </w:r>
          </w:p>
        </w:tc>
        <w:tc>
          <w:tcPr>
            <w:tcW w:w="971" w:type="dxa"/>
            <w:shd w:val="clear" w:color="auto" w:fill="auto"/>
            <w:vAlign w:val="center"/>
          </w:tcPr>
          <w:p w14:paraId="6A7D083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李璐</w:t>
            </w:r>
          </w:p>
        </w:tc>
        <w:tc>
          <w:tcPr>
            <w:tcW w:w="4043" w:type="dxa"/>
            <w:shd w:val="clear" w:color="auto" w:fill="auto"/>
            <w:vAlign w:val="center"/>
          </w:tcPr>
          <w:p w14:paraId="7FEFB8B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区域绿色创新能力的驱动模式及其内在机制：基于绿色创新生态系统视角</w:t>
            </w:r>
          </w:p>
        </w:tc>
        <w:tc>
          <w:tcPr>
            <w:tcW w:w="1685" w:type="dxa"/>
            <w:shd w:val="clear" w:color="auto" w:fill="auto"/>
            <w:vAlign w:val="center"/>
          </w:tcPr>
          <w:p w14:paraId="04AB6082">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改革</w:t>
            </w:r>
          </w:p>
        </w:tc>
        <w:tc>
          <w:tcPr>
            <w:tcW w:w="1188" w:type="dxa"/>
            <w:shd w:val="clear" w:color="auto" w:fill="auto"/>
            <w:vAlign w:val="center"/>
          </w:tcPr>
          <w:p w14:paraId="3DBCE3D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2024.05</w:t>
            </w:r>
          </w:p>
        </w:tc>
      </w:tr>
      <w:tr w14:paraId="5EA4D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shd w:val="clear" w:color="auto" w:fill="auto"/>
            <w:vAlign w:val="center"/>
          </w:tcPr>
          <w:p w14:paraId="315FEE7B">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w:t>
            </w:r>
          </w:p>
        </w:tc>
        <w:tc>
          <w:tcPr>
            <w:tcW w:w="971" w:type="dxa"/>
            <w:shd w:val="clear" w:color="auto" w:fill="auto"/>
            <w:vAlign w:val="center"/>
          </w:tcPr>
          <w:p w14:paraId="36F23CA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吴保林</w:t>
            </w:r>
          </w:p>
        </w:tc>
        <w:tc>
          <w:tcPr>
            <w:tcW w:w="4043" w:type="dxa"/>
            <w:shd w:val="clear" w:color="auto" w:fill="auto"/>
            <w:vAlign w:val="center"/>
          </w:tcPr>
          <w:p w14:paraId="585F5FB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欠发达地区新创企业成长的理论框架构建——基于“制度—资源”二元情境</w:t>
            </w:r>
          </w:p>
        </w:tc>
        <w:tc>
          <w:tcPr>
            <w:tcW w:w="1685" w:type="dxa"/>
            <w:shd w:val="clear" w:color="auto" w:fill="auto"/>
            <w:vAlign w:val="center"/>
          </w:tcPr>
          <w:p w14:paraId="4E0BBD41">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财会月刊</w:t>
            </w:r>
          </w:p>
        </w:tc>
        <w:tc>
          <w:tcPr>
            <w:tcW w:w="1188" w:type="dxa"/>
            <w:shd w:val="clear" w:color="auto" w:fill="auto"/>
            <w:vAlign w:val="center"/>
          </w:tcPr>
          <w:p w14:paraId="2EE233E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2024.12</w:t>
            </w:r>
          </w:p>
        </w:tc>
      </w:tr>
    </w:tbl>
    <w:p w14:paraId="5C2B76F1">
      <w:pPr>
        <w:snapToGrid w:val="0"/>
        <w:spacing w:line="360" w:lineRule="auto"/>
        <w:ind w:firstLine="588" w:firstLineChars="200"/>
        <w:rPr>
          <w:rFonts w:hint="default" w:ascii="仿宋" w:hAnsi="仿宋" w:eastAsia="仿宋"/>
          <w:color w:val="auto"/>
          <w:spacing w:val="-7"/>
          <w:w w:val="110"/>
          <w:sz w:val="28"/>
          <w:szCs w:val="28"/>
          <w:lang w:val="en-US" w:eastAsia="zh-CN"/>
        </w:rPr>
      </w:pPr>
    </w:p>
    <w:p w14:paraId="727CA30B">
      <w:pPr>
        <w:pStyle w:val="6"/>
        <w:snapToGrid w:val="0"/>
        <w:spacing w:before="0" w:after="0" w:line="360" w:lineRule="auto"/>
        <w:ind w:firstLine="662" w:firstLineChars="200"/>
        <w:rPr>
          <w:rFonts w:ascii="仿宋" w:hAnsi="仿宋" w:eastAsia="仿宋"/>
          <w:w w:val="110"/>
          <w:sz w:val="30"/>
          <w:szCs w:val="30"/>
        </w:rPr>
      </w:pPr>
      <w:r>
        <w:rPr>
          <w:rFonts w:hint="eastAsia" w:ascii="仿宋" w:hAnsi="仿宋" w:eastAsia="仿宋"/>
          <w:w w:val="110"/>
          <w:sz w:val="30"/>
          <w:szCs w:val="30"/>
        </w:rPr>
        <w:t>4.传承创新优秀学科文化情况</w:t>
      </w:r>
      <w:bookmarkEnd w:id="42"/>
    </w:p>
    <w:p w14:paraId="3287D016">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是紧密衔接优秀校友，弘扬优秀传统，加强精神塑造。本年度，学院邀请了优秀校友、中国共产党历史展览馆“金牌讲解员”江扬子返校宣讲党的二十大精神；邀请了刘胜等优秀校友来学院讲学并对学院学科建设和科研工作进行指导；成功举行2024年度校友大会、深圳校友分会，参加了西安校友会交流活动，并组织了“与校友面对面”座谈、“商学院高质量发展校友座谈会”“就业与职业发展”论坛暨学院校友首次线下联谊活动等多场次学科优秀传统文化传承交流会。。</w:t>
      </w:r>
    </w:p>
    <w:p w14:paraId="1F46B5D5">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是坚持以人为本，着力构建尊重、关心和支持教师发展、成长的文化模式，旨在促进教师全面发展，使之具有共同的理想信念、道德素质与科学文化素养，更好地传播优秀学科文化。本年度共组织召开了六批次教师座谈会，学院领导与每一位教职工面对面交流，为每一位老师量身定制教师个人成长规划。</w:t>
      </w:r>
    </w:p>
    <w:p w14:paraId="76BA7E0C">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是夯实载体手段，巩固阵地建设，不断提升校园环境的文化含量与品位。本年度，共举办了演讲比赛、专业竞赛、研究生英语翻译大赛、研究生辩论赛、简历制作大赛、文明校园建设等系列活动若干场次，帮助学生健康成长成才。</w:t>
      </w:r>
    </w:p>
    <w:p w14:paraId="0EE1F461">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是多渠道集聚社会文化艺术力量，使大学文化内涵在深度融入国家文化繁荣发展的大环境中，不断得以传承、深化、丰富和发展。本年度，学位点与湘西自治州工业和信息化局、方正证券股份有限公司、湖南雷鸣西部民爆有限公司等单位开启乐校企合作</w:t>
      </w:r>
      <w:bookmarkEnd w:id="43"/>
      <w:bookmarkStart w:id="44" w:name="_Hlk92130173"/>
      <w:r>
        <w:rPr>
          <w:rFonts w:hint="eastAsia" w:ascii="仿宋" w:hAnsi="仿宋" w:eastAsia="仿宋" w:cs="仿宋"/>
          <w:sz w:val="28"/>
          <w:szCs w:val="28"/>
        </w:rPr>
        <w:t>。</w:t>
      </w:r>
    </w:p>
    <w:bookmarkEnd w:id="44"/>
    <w:p w14:paraId="0D68E18B">
      <w:pPr>
        <w:pStyle w:val="6"/>
        <w:snapToGrid w:val="0"/>
        <w:spacing w:before="0" w:after="0" w:line="360" w:lineRule="auto"/>
        <w:ind w:firstLine="662" w:firstLineChars="200"/>
        <w:rPr>
          <w:rFonts w:ascii="仿宋" w:hAnsi="仿宋" w:eastAsia="仿宋"/>
          <w:w w:val="110"/>
          <w:sz w:val="30"/>
          <w:szCs w:val="30"/>
        </w:rPr>
      </w:pPr>
      <w:bookmarkStart w:id="45" w:name="_Toc92275554"/>
      <w:bookmarkStart w:id="46" w:name="_Hlk92202842"/>
      <w:r>
        <w:rPr>
          <w:rFonts w:hint="eastAsia" w:ascii="仿宋" w:hAnsi="仿宋" w:eastAsia="仿宋"/>
          <w:w w:val="110"/>
          <w:sz w:val="30"/>
          <w:szCs w:val="30"/>
        </w:rPr>
        <w:t>5.国际交流合作等的改革创新情况</w:t>
      </w:r>
      <w:bookmarkEnd w:id="45"/>
    </w:p>
    <w:bookmarkEnd w:id="46"/>
    <w:p w14:paraId="395A548A">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学位点本年度积极对接国际优秀人才多渠道开展国际交流与合作。2</w:t>
      </w:r>
      <w:r>
        <w:rPr>
          <w:rFonts w:ascii="仿宋" w:hAnsi="仿宋" w:eastAsia="仿宋" w:cs="仿宋"/>
          <w:sz w:val="28"/>
          <w:szCs w:val="28"/>
        </w:rPr>
        <w:t>024</w:t>
      </w:r>
      <w:r>
        <w:rPr>
          <w:rFonts w:hint="eastAsia" w:ascii="仿宋" w:hAnsi="仿宋" w:eastAsia="仿宋" w:cs="仿宋"/>
          <w:sz w:val="28"/>
          <w:szCs w:val="28"/>
        </w:rPr>
        <w:t>年1</w:t>
      </w:r>
      <w:r>
        <w:rPr>
          <w:rFonts w:ascii="仿宋" w:hAnsi="仿宋" w:eastAsia="仿宋" w:cs="仿宋"/>
          <w:sz w:val="28"/>
          <w:szCs w:val="28"/>
        </w:rPr>
        <w:t>0</w:t>
      </w:r>
      <w:r>
        <w:rPr>
          <w:rFonts w:hint="eastAsia" w:ascii="仿宋" w:hAnsi="仿宋" w:eastAsia="仿宋" w:cs="仿宋"/>
          <w:sz w:val="28"/>
          <w:szCs w:val="28"/>
        </w:rPr>
        <w:t>月，院长龙海军教授、学院学科办主任袁明达副教授参加乐全国MBA培养院校课堂体验与案例建设研讨会暨2024管理案例国际化论坛，围绕商学院案例教学课堂体验和高质量中国案例国际化问题展开了精彩交流。</w:t>
      </w:r>
    </w:p>
    <w:p w14:paraId="596A00F5">
      <w:pPr>
        <w:pStyle w:val="5"/>
        <w:snapToGrid w:val="0"/>
        <w:spacing w:before="0" w:after="0" w:line="360" w:lineRule="auto"/>
        <w:rPr>
          <w:rFonts w:ascii="黑体" w:hAnsi="黑体" w:eastAsia="黑体"/>
          <w:b w:val="0"/>
          <w:bCs w:val="0"/>
        </w:rPr>
      </w:pPr>
      <w:bookmarkStart w:id="47" w:name="_Toc92275555"/>
      <w:r>
        <w:rPr>
          <w:rFonts w:hint="eastAsia" w:ascii="黑体" w:hAnsi="黑体" w:eastAsia="黑体"/>
          <w:b w:val="0"/>
          <w:bCs w:val="0"/>
        </w:rPr>
        <w:t>五、教育质量评估与分析</w:t>
      </w:r>
      <w:bookmarkEnd w:id="47"/>
    </w:p>
    <w:p w14:paraId="52B39424">
      <w:pPr>
        <w:pStyle w:val="6"/>
        <w:snapToGrid w:val="0"/>
        <w:spacing w:before="0" w:after="0" w:line="360" w:lineRule="auto"/>
        <w:ind w:firstLine="662" w:firstLineChars="200"/>
        <w:rPr>
          <w:rFonts w:ascii="仿宋" w:hAnsi="仿宋" w:eastAsia="仿宋"/>
          <w:w w:val="110"/>
          <w:sz w:val="30"/>
          <w:szCs w:val="30"/>
        </w:rPr>
      </w:pPr>
      <w:bookmarkStart w:id="48" w:name="_Toc92275556"/>
      <w:r>
        <w:rPr>
          <w:rFonts w:hint="eastAsia" w:ascii="仿宋" w:hAnsi="仿宋" w:eastAsia="仿宋"/>
          <w:w w:val="110"/>
          <w:sz w:val="30"/>
          <w:szCs w:val="30"/>
        </w:rPr>
        <w:t>1.学位授权点自我评估进展及问题分析</w:t>
      </w:r>
      <w:bookmarkEnd w:id="48"/>
    </w:p>
    <w:p w14:paraId="448CC57A">
      <w:pPr>
        <w:snapToGrid w:val="0"/>
        <w:spacing w:line="360" w:lineRule="auto"/>
        <w:ind w:firstLine="588" w:firstLineChars="200"/>
        <w:rPr>
          <w:rFonts w:hint="eastAsia" w:ascii="仿宋" w:hAnsi="仿宋" w:eastAsia="仿宋"/>
          <w:spacing w:val="-7"/>
          <w:w w:val="110"/>
          <w:sz w:val="28"/>
          <w:szCs w:val="28"/>
        </w:rPr>
      </w:pPr>
      <w:r>
        <w:rPr>
          <w:rFonts w:hint="eastAsia" w:ascii="仿宋" w:hAnsi="仿宋" w:eastAsia="仿宋"/>
          <w:color w:val="auto"/>
          <w:spacing w:val="-7"/>
          <w:w w:val="110"/>
          <w:sz w:val="28"/>
          <w:szCs w:val="28"/>
          <w:lang w:val="en-US" w:eastAsia="zh-CN"/>
        </w:rPr>
        <w:t>本年度学位点对照学位授权点自我评估相关通知要求，制定了《吉首大学商学院学位点合格评估方案》《吉首大学学位授权点自我评估指标体系（应用经济学）》，并组织省内外专家对本学位点开展了自我评估。</w:t>
      </w:r>
      <w:r>
        <w:rPr>
          <w:rFonts w:hint="eastAsia" w:ascii="仿宋" w:hAnsi="仿宋" w:eastAsia="仿宋"/>
          <w:spacing w:val="-7"/>
          <w:w w:val="110"/>
          <w:sz w:val="28"/>
          <w:szCs w:val="28"/>
        </w:rPr>
        <w:t>同行专家对本学位授权点的评价总体意见为：目标定位、课程和学分构成设置、培养环节设计科学合理，学位申请成果多元化，研究方向明确且富有特色，师资队伍学源结构、职称结构合理且整体实力较强，人才培养质量较高，科学研究集中且成果突出，制度建设成熟完善，资助体系健全，学生成才硬件、软件资源较为充足。</w:t>
      </w:r>
    </w:p>
    <w:p w14:paraId="4ED97B47">
      <w:pPr>
        <w:snapToGrid w:val="0"/>
        <w:spacing w:line="360" w:lineRule="auto"/>
        <w:ind w:firstLine="588" w:firstLineChars="200"/>
        <w:rPr>
          <w:rFonts w:ascii="仿宋" w:hAnsi="仿宋" w:eastAsia="仿宋"/>
          <w:spacing w:val="-7"/>
          <w:w w:val="110"/>
          <w:sz w:val="30"/>
          <w:szCs w:val="30"/>
        </w:rPr>
      </w:pPr>
      <w:r>
        <w:rPr>
          <w:rFonts w:hint="eastAsia" w:ascii="仿宋" w:hAnsi="仿宋" w:eastAsia="仿宋"/>
          <w:spacing w:val="-7"/>
          <w:w w:val="110"/>
          <w:sz w:val="28"/>
          <w:szCs w:val="28"/>
        </w:rPr>
        <w:t>但</w:t>
      </w:r>
      <w:r>
        <w:rPr>
          <w:rFonts w:hint="eastAsia" w:ascii="仿宋" w:hAnsi="仿宋" w:eastAsia="仿宋"/>
          <w:spacing w:val="-7"/>
          <w:w w:val="110"/>
          <w:sz w:val="28"/>
          <w:szCs w:val="28"/>
          <w:lang w:val="en-US" w:eastAsia="zh-CN"/>
        </w:rPr>
        <w:t>同行专家也对本学位提出了以下几个有待进一步提升的问题：</w:t>
      </w:r>
      <w:r>
        <w:rPr>
          <w:rFonts w:hint="eastAsia" w:ascii="仿宋" w:hAnsi="仿宋" w:eastAsia="仿宋"/>
          <w:spacing w:val="-7"/>
          <w:w w:val="110"/>
          <w:sz w:val="28"/>
          <w:szCs w:val="28"/>
        </w:rPr>
        <w:t>第一，中青年学术骨干需要进一步加强引进与培养；第二，学术交流有待进一步加强，师生参与高水平的国内外学术会议的频次有待进一步提高；第三，国家级重大重点项目尚未取得突破，可进一步提升高水平科研成果；第四，服务地方经济社会发展方面资政成果有待进一步补充。进而，提出三点建议：一是实施“引进”和“培育”工程，进一步扩大中青年学术骨干规模；二是完善学科学术会议管理制度，优化激励机制，提升高水平国际国内学术会议参与度；三是强化师生高水平科研成果培育，强化学术支持力度。</w:t>
      </w:r>
    </w:p>
    <w:p w14:paraId="085B2CDC">
      <w:pPr>
        <w:pStyle w:val="6"/>
        <w:snapToGrid w:val="0"/>
        <w:spacing w:before="0" w:after="0" w:line="360" w:lineRule="auto"/>
        <w:ind w:firstLine="662" w:firstLineChars="200"/>
        <w:rPr>
          <w:rFonts w:ascii="仿宋" w:hAnsi="仿宋" w:eastAsia="仿宋"/>
          <w:w w:val="110"/>
          <w:sz w:val="30"/>
          <w:szCs w:val="30"/>
        </w:rPr>
      </w:pPr>
      <w:bookmarkStart w:id="49" w:name="_Toc92275557"/>
      <w:r>
        <w:rPr>
          <w:rFonts w:hint="eastAsia" w:ascii="仿宋" w:hAnsi="仿宋" w:eastAsia="仿宋"/>
          <w:w w:val="110"/>
          <w:sz w:val="30"/>
          <w:szCs w:val="30"/>
        </w:rPr>
        <w:t>2.学位论文抽检情况及问题分析</w:t>
      </w:r>
      <w:bookmarkEnd w:id="49"/>
    </w:p>
    <w:p w14:paraId="2CD4B423">
      <w:pPr>
        <w:snapToGrid w:val="0"/>
        <w:spacing w:line="360" w:lineRule="auto"/>
        <w:ind w:firstLine="588" w:firstLineChars="200"/>
        <w:rPr>
          <w:rFonts w:ascii="仿宋" w:hAnsi="仿宋" w:eastAsia="仿宋"/>
          <w:spacing w:val="-7"/>
          <w:w w:val="110"/>
          <w:sz w:val="28"/>
          <w:szCs w:val="28"/>
        </w:rPr>
      </w:pPr>
      <w:r>
        <w:rPr>
          <w:rFonts w:hint="eastAsia" w:ascii="仿宋" w:hAnsi="仿宋" w:eastAsia="仿宋"/>
          <w:spacing w:val="-7"/>
          <w:w w:val="110"/>
          <w:sz w:val="28"/>
          <w:szCs w:val="28"/>
        </w:rPr>
        <w:t>学位点学位论文的全程实行“源头控制、过程监督、出口从严”策略，实施“审题—开题—中期检查—校内专家评阅—预答辩—校外盲审—答辩”等环节，对研究生学位论文实行严格的“双盲”评审制度，对盲审意见为“不同意答辩”的不予答辩。论文答辩邀请校外相关研究领域专家主持，对答辩过程中问题较大的论文严格按照答辩委员会提出的修改意见进行修改，并实行定稿前集中检查落实修改责任制度。由于管理规范、指导严谨，层层严把论文质量关，202</w:t>
      </w:r>
      <w:r>
        <w:rPr>
          <w:rFonts w:ascii="仿宋" w:hAnsi="仿宋" w:eastAsia="仿宋"/>
          <w:spacing w:val="-7"/>
          <w:w w:val="110"/>
          <w:sz w:val="28"/>
          <w:szCs w:val="28"/>
        </w:rPr>
        <w:t>4</w:t>
      </w:r>
      <w:r>
        <w:rPr>
          <w:rFonts w:hint="eastAsia" w:ascii="仿宋" w:hAnsi="仿宋" w:eastAsia="仿宋"/>
          <w:spacing w:val="-7"/>
          <w:w w:val="110"/>
          <w:sz w:val="28"/>
          <w:szCs w:val="28"/>
        </w:rPr>
        <w:t>年学位论文盲评通过率达100%，答辩通过率为100%，省学位办抽检论文全部合格。</w:t>
      </w:r>
    </w:p>
    <w:p w14:paraId="6FD2B207">
      <w:pPr>
        <w:pStyle w:val="5"/>
        <w:snapToGrid w:val="0"/>
        <w:spacing w:before="0" w:after="0" w:line="360" w:lineRule="auto"/>
        <w:rPr>
          <w:rFonts w:hint="eastAsia" w:ascii="仿宋" w:hAnsi="仿宋" w:eastAsia="仿宋" w:cs="宋体"/>
          <w:b/>
          <w:bCs/>
          <w:color w:val="000000" w:themeColor="text1"/>
          <w:sz w:val="30"/>
          <w:szCs w:val="30"/>
          <w14:textFill>
            <w14:solidFill>
              <w14:schemeClr w14:val="tx1"/>
            </w14:solidFill>
          </w14:textFill>
        </w:rPr>
      </w:pPr>
      <w:bookmarkStart w:id="50" w:name="_Toc92275558"/>
      <w:r>
        <w:rPr>
          <w:rFonts w:hint="eastAsia" w:ascii="黑体" w:hAnsi="黑体" w:eastAsia="黑体"/>
          <w:b w:val="0"/>
          <w:bCs w:val="0"/>
          <w:color w:val="000000" w:themeColor="text1"/>
          <w14:textFill>
            <w14:solidFill>
              <w14:schemeClr w14:val="tx1"/>
            </w14:solidFill>
          </w14:textFill>
        </w:rPr>
        <w:t>六、改进措施</w:t>
      </w:r>
      <w:bookmarkEnd w:id="50"/>
    </w:p>
    <w:p w14:paraId="491E6E10">
      <w:pPr>
        <w:snapToGrid w:val="0"/>
        <w:spacing w:line="360" w:lineRule="auto"/>
        <w:ind w:firstLine="590" w:firstLineChars="200"/>
        <w:rPr>
          <w:rFonts w:hint="eastAsia" w:ascii="仿宋" w:hAnsi="仿宋" w:eastAsia="仿宋"/>
          <w:b/>
          <w:bCs/>
          <w:spacing w:val="-7"/>
          <w:w w:val="110"/>
          <w:sz w:val="28"/>
          <w:szCs w:val="28"/>
          <w:lang w:val="en-US" w:eastAsia="zh-CN"/>
        </w:rPr>
      </w:pPr>
      <w:r>
        <w:rPr>
          <w:rFonts w:hint="eastAsia" w:ascii="仿宋" w:hAnsi="仿宋" w:eastAsia="仿宋"/>
          <w:b/>
          <w:bCs/>
          <w:spacing w:val="-7"/>
          <w:w w:val="110"/>
          <w:sz w:val="28"/>
          <w:szCs w:val="28"/>
          <w:lang w:val="en-US" w:eastAsia="zh-CN"/>
        </w:rPr>
        <w:t>1.引育并举持续推进</w:t>
      </w:r>
      <w:r>
        <w:rPr>
          <w:rFonts w:hint="eastAsia" w:ascii="仿宋" w:hAnsi="仿宋" w:eastAsia="仿宋"/>
          <w:b/>
          <w:bCs/>
          <w:color w:val="auto"/>
          <w:spacing w:val="-7"/>
          <w:w w:val="110"/>
          <w:sz w:val="28"/>
          <w:szCs w:val="28"/>
          <w:lang w:val="en-US" w:eastAsia="zh-CN"/>
        </w:rPr>
        <w:t>师资队伍</w:t>
      </w:r>
      <w:r>
        <w:rPr>
          <w:rFonts w:hint="eastAsia" w:ascii="仿宋" w:hAnsi="仿宋" w:eastAsia="仿宋"/>
          <w:b/>
          <w:bCs/>
          <w:spacing w:val="-7"/>
          <w:w w:val="110"/>
          <w:sz w:val="28"/>
          <w:szCs w:val="28"/>
          <w:lang w:val="en-US" w:eastAsia="zh-CN"/>
        </w:rPr>
        <w:t>建设</w:t>
      </w:r>
    </w:p>
    <w:p w14:paraId="07F753FC">
      <w:pPr>
        <w:snapToGrid w:val="0"/>
        <w:spacing w:line="360" w:lineRule="auto"/>
        <w:ind w:firstLine="588" w:firstLineChars="200"/>
        <w:rPr>
          <w:rFonts w:hint="eastAsia" w:ascii="仿宋" w:hAnsi="仿宋" w:eastAsia="仿宋"/>
          <w:spacing w:val="-7"/>
          <w:w w:val="110"/>
          <w:sz w:val="28"/>
          <w:szCs w:val="28"/>
        </w:rPr>
      </w:pPr>
      <w:r>
        <w:rPr>
          <w:rFonts w:hint="eastAsia" w:ascii="仿宋" w:hAnsi="仿宋" w:eastAsia="仿宋"/>
          <w:spacing w:val="-7"/>
          <w:w w:val="110"/>
          <w:sz w:val="28"/>
          <w:szCs w:val="28"/>
        </w:rPr>
        <w:t>以国家“万人计划”和学校“俊彦学者”计划为抓手，引进高水平学科带头人和高层次中青年学术骨干；同时，充分发挥学校“俊彦学者”计划和“双一流”学科建设政策和经费的支持效应，加大对学科带头人和中青年学术骨干的激励力度，创建良好的科研学术氛围，积极推进实施学位点人才梯队培育工程。通过“引进”和“培育”两手抓，为弥补学位点学科带头人不够强、中青年学术骨干学术活跃度不够高的短板提供政策和制度保障。</w:t>
      </w:r>
    </w:p>
    <w:p w14:paraId="3E6053B8">
      <w:pPr>
        <w:snapToGrid w:val="0"/>
        <w:spacing w:line="360" w:lineRule="auto"/>
        <w:ind w:firstLine="590" w:firstLineChars="200"/>
        <w:rPr>
          <w:rFonts w:hint="eastAsia" w:ascii="仿宋" w:hAnsi="仿宋" w:eastAsia="仿宋"/>
          <w:b/>
          <w:bCs/>
          <w:color w:val="auto"/>
          <w:spacing w:val="-7"/>
          <w:w w:val="110"/>
          <w:sz w:val="28"/>
          <w:szCs w:val="28"/>
        </w:rPr>
      </w:pPr>
      <w:r>
        <w:rPr>
          <w:rFonts w:hint="eastAsia" w:ascii="仿宋" w:hAnsi="仿宋" w:eastAsia="仿宋"/>
          <w:b/>
          <w:bCs/>
          <w:color w:val="auto"/>
          <w:spacing w:val="-7"/>
          <w:w w:val="110"/>
          <w:sz w:val="28"/>
          <w:szCs w:val="28"/>
          <w:lang w:val="en-US" w:eastAsia="zh-CN"/>
        </w:rPr>
        <w:t>2.多措并举</w:t>
      </w:r>
      <w:r>
        <w:rPr>
          <w:rFonts w:hint="eastAsia" w:ascii="仿宋" w:hAnsi="仿宋" w:eastAsia="仿宋"/>
          <w:b/>
          <w:bCs/>
          <w:color w:val="auto"/>
          <w:spacing w:val="-7"/>
          <w:w w:val="110"/>
          <w:sz w:val="28"/>
          <w:szCs w:val="28"/>
        </w:rPr>
        <w:t>推进</w:t>
      </w:r>
      <w:r>
        <w:rPr>
          <w:rFonts w:hint="eastAsia" w:ascii="仿宋" w:hAnsi="仿宋" w:eastAsia="仿宋"/>
          <w:b/>
          <w:bCs/>
          <w:color w:val="auto"/>
          <w:spacing w:val="-7"/>
          <w:w w:val="110"/>
          <w:sz w:val="28"/>
          <w:szCs w:val="28"/>
          <w:lang w:val="en-US" w:eastAsia="zh-CN"/>
        </w:rPr>
        <w:t>学术交流平台</w:t>
      </w:r>
      <w:r>
        <w:rPr>
          <w:rFonts w:hint="eastAsia" w:ascii="仿宋" w:hAnsi="仿宋" w:eastAsia="仿宋"/>
          <w:b/>
          <w:bCs/>
          <w:color w:val="auto"/>
          <w:spacing w:val="-7"/>
          <w:w w:val="110"/>
          <w:sz w:val="28"/>
          <w:szCs w:val="28"/>
        </w:rPr>
        <w:t>建设</w:t>
      </w:r>
    </w:p>
    <w:p w14:paraId="59446817">
      <w:pPr>
        <w:snapToGrid w:val="0"/>
        <w:spacing w:line="360" w:lineRule="auto"/>
        <w:ind w:firstLine="588" w:firstLineChars="200"/>
        <w:rPr>
          <w:rFonts w:hint="eastAsia" w:ascii="仿宋" w:hAnsi="仿宋" w:eastAsia="仿宋"/>
          <w:color w:val="auto"/>
          <w:spacing w:val="-7"/>
          <w:w w:val="110"/>
          <w:sz w:val="28"/>
          <w:szCs w:val="28"/>
        </w:rPr>
      </w:pPr>
      <w:r>
        <w:rPr>
          <w:rFonts w:hint="eastAsia" w:ascii="仿宋" w:hAnsi="仿宋" w:eastAsia="仿宋"/>
          <w:color w:val="auto"/>
          <w:spacing w:val="-7"/>
          <w:w w:val="110"/>
          <w:sz w:val="28"/>
          <w:szCs w:val="28"/>
          <w:lang w:val="en-US" w:eastAsia="zh-CN"/>
        </w:rPr>
        <w:t>增加</w:t>
      </w:r>
      <w:r>
        <w:rPr>
          <w:rFonts w:hint="eastAsia" w:ascii="仿宋" w:hAnsi="仿宋" w:eastAsia="仿宋"/>
          <w:color w:val="auto"/>
          <w:spacing w:val="-7"/>
          <w:w w:val="110"/>
          <w:sz w:val="28"/>
          <w:szCs w:val="28"/>
        </w:rPr>
        <w:t>高质量国际学术会议举办和参与频次，扩大学位点的国际国内学术影响力和知名度。一方面，通过加大资金投入，坚持“请进来”与“走出去”并行，主办、承办、协办次高水平国际国内学术会议，为本学科师生开展学术交流活动搭建平台；另一方面，积极创造有利条件，特别是科学规划学科带头人、中青年学术骨干的时间安排，推进“学术休假”制度，为师生赴海内外学习交流、开阔学术视野、提升学术水平提供有效的时间保障，</w:t>
      </w:r>
      <w:r>
        <w:rPr>
          <w:rFonts w:hint="eastAsia" w:ascii="仿宋" w:hAnsi="仿宋" w:eastAsia="仿宋"/>
          <w:color w:val="auto"/>
          <w:spacing w:val="-7"/>
          <w:w w:val="110"/>
          <w:sz w:val="28"/>
          <w:szCs w:val="28"/>
          <w:lang w:val="en-US" w:eastAsia="zh-CN"/>
        </w:rPr>
        <w:t>鼓励支持</w:t>
      </w:r>
      <w:r>
        <w:rPr>
          <w:rFonts w:hint="eastAsia" w:ascii="仿宋" w:hAnsi="仿宋" w:eastAsia="仿宋"/>
          <w:color w:val="auto"/>
          <w:spacing w:val="-7"/>
          <w:w w:val="110"/>
          <w:sz w:val="28"/>
          <w:szCs w:val="28"/>
        </w:rPr>
        <w:t>教师赴国外访学。</w:t>
      </w:r>
    </w:p>
    <w:p w14:paraId="12BBC85F">
      <w:pPr>
        <w:snapToGrid w:val="0"/>
        <w:spacing w:line="360" w:lineRule="auto"/>
        <w:ind w:firstLine="590" w:firstLineChars="200"/>
        <w:rPr>
          <w:rFonts w:hint="eastAsia" w:ascii="仿宋" w:hAnsi="仿宋" w:eastAsia="仿宋"/>
          <w:b/>
          <w:bCs/>
          <w:color w:val="auto"/>
          <w:spacing w:val="-7"/>
          <w:w w:val="110"/>
          <w:sz w:val="28"/>
          <w:szCs w:val="28"/>
        </w:rPr>
      </w:pPr>
      <w:r>
        <w:rPr>
          <w:rFonts w:hint="eastAsia" w:ascii="仿宋" w:hAnsi="仿宋" w:eastAsia="仿宋"/>
          <w:b/>
          <w:bCs/>
          <w:color w:val="auto"/>
          <w:spacing w:val="-7"/>
          <w:w w:val="110"/>
          <w:sz w:val="28"/>
          <w:szCs w:val="28"/>
          <w:lang w:val="en-US" w:eastAsia="zh-CN"/>
        </w:rPr>
        <w:t>3.突出特色助推高水平科研成果建设</w:t>
      </w:r>
    </w:p>
    <w:p w14:paraId="022C43E2">
      <w:pPr>
        <w:snapToGrid w:val="0"/>
        <w:spacing w:line="360" w:lineRule="auto"/>
        <w:ind w:firstLine="588" w:firstLineChars="200"/>
        <w:rPr>
          <w:color w:val="000000" w:themeColor="text1"/>
          <w:sz w:val="30"/>
          <w:szCs w:val="30"/>
          <w14:textFill>
            <w14:solidFill>
              <w14:schemeClr w14:val="tx1"/>
            </w14:solidFill>
          </w14:textFill>
        </w:rPr>
      </w:pPr>
      <w:r>
        <w:rPr>
          <w:rFonts w:hint="eastAsia" w:ascii="仿宋" w:hAnsi="仿宋" w:eastAsia="仿宋"/>
          <w:color w:val="auto"/>
          <w:spacing w:val="-7"/>
          <w:w w:val="110"/>
          <w:sz w:val="28"/>
          <w:szCs w:val="28"/>
        </w:rPr>
        <w:t>针对学位点高水平科研成果不多的短板，</w:t>
      </w:r>
      <w:r>
        <w:rPr>
          <w:rFonts w:hint="eastAsia" w:ascii="仿宋" w:hAnsi="仿宋" w:eastAsia="仿宋"/>
          <w:color w:val="auto"/>
          <w:spacing w:val="-7"/>
          <w:w w:val="110"/>
          <w:sz w:val="28"/>
          <w:szCs w:val="28"/>
          <w:lang w:val="en-US" w:eastAsia="zh-CN"/>
        </w:rPr>
        <w:t>突出特色加协同作战，推进高水平科研成果做实落地</w:t>
      </w:r>
      <w:r>
        <w:rPr>
          <w:rFonts w:hint="eastAsia" w:ascii="仿宋" w:hAnsi="仿宋" w:eastAsia="仿宋"/>
          <w:color w:val="auto"/>
          <w:spacing w:val="-7"/>
          <w:w w:val="110"/>
          <w:sz w:val="28"/>
          <w:szCs w:val="28"/>
        </w:rPr>
        <w:t>。一是紧密围绕国家重大战略需求和湖南经济社会发展急需，开展组织科研，新增10项左右国家级科研项目；二是充分利用教育部对口支援高校—中山大学的援助资源和政策，在重大课题奖励申报、论文撰写、地方服务方面加强协同，实现国家级科研奖励、国家级重点项目的突破，解决高水平科研成果不多的问题。</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18842">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C91DF9">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4C91DF9">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0Y2E2MmEzZTJiYmJlZDM3OGVmOGUxNDBiYTg3ZTgifQ=="/>
  </w:docVars>
  <w:rsids>
    <w:rsidRoot w:val="50B15851"/>
    <w:rsid w:val="000214C6"/>
    <w:rsid w:val="00044217"/>
    <w:rsid w:val="00045518"/>
    <w:rsid w:val="00062687"/>
    <w:rsid w:val="00071760"/>
    <w:rsid w:val="000729D4"/>
    <w:rsid w:val="00072F32"/>
    <w:rsid w:val="00073915"/>
    <w:rsid w:val="00076569"/>
    <w:rsid w:val="000846FB"/>
    <w:rsid w:val="000A5AD0"/>
    <w:rsid w:val="000C2E9A"/>
    <w:rsid w:val="00147C01"/>
    <w:rsid w:val="00172A19"/>
    <w:rsid w:val="00173AE0"/>
    <w:rsid w:val="001A2025"/>
    <w:rsid w:val="001A315A"/>
    <w:rsid w:val="001A55B7"/>
    <w:rsid w:val="001B76E5"/>
    <w:rsid w:val="001E020C"/>
    <w:rsid w:val="001F6C35"/>
    <w:rsid w:val="00200CBC"/>
    <w:rsid w:val="00202AB8"/>
    <w:rsid w:val="0022561A"/>
    <w:rsid w:val="002449DA"/>
    <w:rsid w:val="002512D7"/>
    <w:rsid w:val="00264FF6"/>
    <w:rsid w:val="002846E9"/>
    <w:rsid w:val="00292AC6"/>
    <w:rsid w:val="002B3872"/>
    <w:rsid w:val="002B3DEF"/>
    <w:rsid w:val="002B56C1"/>
    <w:rsid w:val="002C3163"/>
    <w:rsid w:val="002D794F"/>
    <w:rsid w:val="002E0247"/>
    <w:rsid w:val="002E1D6C"/>
    <w:rsid w:val="003020A1"/>
    <w:rsid w:val="0032276F"/>
    <w:rsid w:val="003957D0"/>
    <w:rsid w:val="003962DA"/>
    <w:rsid w:val="00411AC3"/>
    <w:rsid w:val="00450086"/>
    <w:rsid w:val="00456474"/>
    <w:rsid w:val="00482FED"/>
    <w:rsid w:val="00485AE0"/>
    <w:rsid w:val="004D381E"/>
    <w:rsid w:val="00502AFB"/>
    <w:rsid w:val="00504F12"/>
    <w:rsid w:val="005236D3"/>
    <w:rsid w:val="00553200"/>
    <w:rsid w:val="0056589C"/>
    <w:rsid w:val="0059098F"/>
    <w:rsid w:val="00594C95"/>
    <w:rsid w:val="005B3911"/>
    <w:rsid w:val="005E107E"/>
    <w:rsid w:val="005E145A"/>
    <w:rsid w:val="005F638B"/>
    <w:rsid w:val="005F6BDB"/>
    <w:rsid w:val="00671044"/>
    <w:rsid w:val="006A7C1C"/>
    <w:rsid w:val="006B0E0B"/>
    <w:rsid w:val="006C4D42"/>
    <w:rsid w:val="006C622D"/>
    <w:rsid w:val="006C70C6"/>
    <w:rsid w:val="006D4314"/>
    <w:rsid w:val="006F28F0"/>
    <w:rsid w:val="00726CEE"/>
    <w:rsid w:val="00742DEB"/>
    <w:rsid w:val="00753290"/>
    <w:rsid w:val="00771ED3"/>
    <w:rsid w:val="007734E6"/>
    <w:rsid w:val="007C45A1"/>
    <w:rsid w:val="007D08D0"/>
    <w:rsid w:val="007F15FC"/>
    <w:rsid w:val="0087381F"/>
    <w:rsid w:val="00874686"/>
    <w:rsid w:val="00880C36"/>
    <w:rsid w:val="00892CD1"/>
    <w:rsid w:val="00897B00"/>
    <w:rsid w:val="00920538"/>
    <w:rsid w:val="00947D2E"/>
    <w:rsid w:val="0097136B"/>
    <w:rsid w:val="00975830"/>
    <w:rsid w:val="00983209"/>
    <w:rsid w:val="009A39A5"/>
    <w:rsid w:val="009C3F08"/>
    <w:rsid w:val="009C7596"/>
    <w:rsid w:val="00A0605F"/>
    <w:rsid w:val="00A61C41"/>
    <w:rsid w:val="00AA7B2A"/>
    <w:rsid w:val="00AD0AFD"/>
    <w:rsid w:val="00AD7D55"/>
    <w:rsid w:val="00AE3311"/>
    <w:rsid w:val="00AF2B62"/>
    <w:rsid w:val="00B17106"/>
    <w:rsid w:val="00B21085"/>
    <w:rsid w:val="00B2422F"/>
    <w:rsid w:val="00B57A0A"/>
    <w:rsid w:val="00B60A7F"/>
    <w:rsid w:val="00B7748B"/>
    <w:rsid w:val="00B81709"/>
    <w:rsid w:val="00BA5C4E"/>
    <w:rsid w:val="00BD2126"/>
    <w:rsid w:val="00BE1F6E"/>
    <w:rsid w:val="00C41B8E"/>
    <w:rsid w:val="00C4793F"/>
    <w:rsid w:val="00C5767A"/>
    <w:rsid w:val="00C625BD"/>
    <w:rsid w:val="00C935D7"/>
    <w:rsid w:val="00D14224"/>
    <w:rsid w:val="00D267B4"/>
    <w:rsid w:val="00D268A4"/>
    <w:rsid w:val="00D510D0"/>
    <w:rsid w:val="00D56697"/>
    <w:rsid w:val="00D60527"/>
    <w:rsid w:val="00D71081"/>
    <w:rsid w:val="00D71623"/>
    <w:rsid w:val="00D85070"/>
    <w:rsid w:val="00D9706E"/>
    <w:rsid w:val="00DA5E8D"/>
    <w:rsid w:val="00DB0E4D"/>
    <w:rsid w:val="00DB1E7E"/>
    <w:rsid w:val="00DB6342"/>
    <w:rsid w:val="00DC1A43"/>
    <w:rsid w:val="00E100B0"/>
    <w:rsid w:val="00E31583"/>
    <w:rsid w:val="00E37F8C"/>
    <w:rsid w:val="00E43198"/>
    <w:rsid w:val="00E61B5C"/>
    <w:rsid w:val="00E66F7D"/>
    <w:rsid w:val="00E735B1"/>
    <w:rsid w:val="00E80C99"/>
    <w:rsid w:val="00E86FA4"/>
    <w:rsid w:val="00E97E6A"/>
    <w:rsid w:val="00EA562B"/>
    <w:rsid w:val="00EB6C35"/>
    <w:rsid w:val="00ED3C74"/>
    <w:rsid w:val="00F23EE8"/>
    <w:rsid w:val="00F34701"/>
    <w:rsid w:val="00F35301"/>
    <w:rsid w:val="00F44ED2"/>
    <w:rsid w:val="00F80F9D"/>
    <w:rsid w:val="00FA5C1D"/>
    <w:rsid w:val="00FB49F7"/>
    <w:rsid w:val="00FD05C7"/>
    <w:rsid w:val="01DF515C"/>
    <w:rsid w:val="01DF79C5"/>
    <w:rsid w:val="02447828"/>
    <w:rsid w:val="04313D37"/>
    <w:rsid w:val="04FD38C5"/>
    <w:rsid w:val="06500E91"/>
    <w:rsid w:val="06AA5388"/>
    <w:rsid w:val="08557FBB"/>
    <w:rsid w:val="09C474FD"/>
    <w:rsid w:val="0A420D20"/>
    <w:rsid w:val="0BA859D4"/>
    <w:rsid w:val="0D46360A"/>
    <w:rsid w:val="0DAE0236"/>
    <w:rsid w:val="0E677826"/>
    <w:rsid w:val="11B87E57"/>
    <w:rsid w:val="12AF6F40"/>
    <w:rsid w:val="13A935BD"/>
    <w:rsid w:val="144665AD"/>
    <w:rsid w:val="144813FA"/>
    <w:rsid w:val="145B4C97"/>
    <w:rsid w:val="157E49C7"/>
    <w:rsid w:val="15900ED2"/>
    <w:rsid w:val="1647579E"/>
    <w:rsid w:val="17245A5D"/>
    <w:rsid w:val="180C6E5D"/>
    <w:rsid w:val="19422DC9"/>
    <w:rsid w:val="1A2E26D7"/>
    <w:rsid w:val="1E8314EF"/>
    <w:rsid w:val="1EB06519"/>
    <w:rsid w:val="1F117043"/>
    <w:rsid w:val="1FB519E5"/>
    <w:rsid w:val="20455AEB"/>
    <w:rsid w:val="217C6B87"/>
    <w:rsid w:val="244A27F5"/>
    <w:rsid w:val="26372763"/>
    <w:rsid w:val="27F7652E"/>
    <w:rsid w:val="29056591"/>
    <w:rsid w:val="29707988"/>
    <w:rsid w:val="2C501851"/>
    <w:rsid w:val="2CB929F0"/>
    <w:rsid w:val="2EB316F0"/>
    <w:rsid w:val="30140919"/>
    <w:rsid w:val="31B21684"/>
    <w:rsid w:val="330C5891"/>
    <w:rsid w:val="33B46ADE"/>
    <w:rsid w:val="36F2705B"/>
    <w:rsid w:val="38082217"/>
    <w:rsid w:val="39565DC2"/>
    <w:rsid w:val="40D33D5E"/>
    <w:rsid w:val="41AC0C29"/>
    <w:rsid w:val="41BE1201"/>
    <w:rsid w:val="42E07D91"/>
    <w:rsid w:val="48CF6DF2"/>
    <w:rsid w:val="48D47AA4"/>
    <w:rsid w:val="49F44C5D"/>
    <w:rsid w:val="4A6D43F8"/>
    <w:rsid w:val="4A7B35D0"/>
    <w:rsid w:val="4A875AD1"/>
    <w:rsid w:val="4A987CDE"/>
    <w:rsid w:val="4ABF5E04"/>
    <w:rsid w:val="4F351F9F"/>
    <w:rsid w:val="4FEE7670"/>
    <w:rsid w:val="503526D0"/>
    <w:rsid w:val="505E2487"/>
    <w:rsid w:val="50B15851"/>
    <w:rsid w:val="51024103"/>
    <w:rsid w:val="51F56E18"/>
    <w:rsid w:val="545435C2"/>
    <w:rsid w:val="5456524F"/>
    <w:rsid w:val="5707121C"/>
    <w:rsid w:val="582B4F66"/>
    <w:rsid w:val="59104463"/>
    <w:rsid w:val="594E41F4"/>
    <w:rsid w:val="5A647BDD"/>
    <w:rsid w:val="5B1A029B"/>
    <w:rsid w:val="5B3F25F2"/>
    <w:rsid w:val="5C0F1DCA"/>
    <w:rsid w:val="5D35760E"/>
    <w:rsid w:val="5EDA046D"/>
    <w:rsid w:val="5FDE12AF"/>
    <w:rsid w:val="60AF4A3B"/>
    <w:rsid w:val="60E0307A"/>
    <w:rsid w:val="61496764"/>
    <w:rsid w:val="633454C3"/>
    <w:rsid w:val="6477359A"/>
    <w:rsid w:val="65CB0B10"/>
    <w:rsid w:val="662E29E9"/>
    <w:rsid w:val="670C384C"/>
    <w:rsid w:val="69013498"/>
    <w:rsid w:val="6B6609EE"/>
    <w:rsid w:val="6D2042B9"/>
    <w:rsid w:val="6D861D56"/>
    <w:rsid w:val="6DAA73FE"/>
    <w:rsid w:val="6F9E11D9"/>
    <w:rsid w:val="6FC92F48"/>
    <w:rsid w:val="71BC5BB9"/>
    <w:rsid w:val="751E6B0F"/>
    <w:rsid w:val="7769354C"/>
    <w:rsid w:val="7A586458"/>
    <w:rsid w:val="7BAE00F8"/>
    <w:rsid w:val="7C843250"/>
    <w:rsid w:val="7CB05143"/>
    <w:rsid w:val="7DC45AE4"/>
    <w:rsid w:val="7E282B4B"/>
    <w:rsid w:val="7FB03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2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5"/>
    <w:unhideWhenUsed/>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pPr>
  </w:style>
  <w:style w:type="paragraph" w:styleId="3">
    <w:name w:val="Body Text Indent"/>
    <w:basedOn w:val="1"/>
    <w:autoRedefine/>
    <w:unhideWhenUsed/>
    <w:qFormat/>
    <w:uiPriority w:val="99"/>
    <w:pPr>
      <w:spacing w:after="120"/>
      <w:ind w:left="420" w:leftChars="200"/>
    </w:p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toc 3"/>
    <w:basedOn w:val="1"/>
    <w:next w:val="1"/>
    <w:autoRedefine/>
    <w:qFormat/>
    <w:uiPriority w:val="39"/>
    <w:pPr>
      <w:ind w:left="840" w:leftChars="400"/>
    </w:p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toc 2"/>
    <w:basedOn w:val="1"/>
    <w:next w:val="1"/>
    <w:autoRedefine/>
    <w:unhideWhenUsed/>
    <w:qFormat/>
    <w:uiPriority w:val="39"/>
    <w:pPr>
      <w:ind w:left="420" w:left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22"/>
    <w:rPr>
      <w:b/>
      <w:bCs/>
    </w:rPr>
  </w:style>
  <w:style w:type="character" w:styleId="18">
    <w:name w:val="Hyperlink"/>
    <w:basedOn w:val="16"/>
    <w:autoRedefine/>
    <w:unhideWhenUsed/>
    <w:qFormat/>
    <w:uiPriority w:val="99"/>
    <w:rPr>
      <w:color w:val="0563C1" w:themeColor="hyperlink"/>
      <w:u w:val="single"/>
      <w14:textFill>
        <w14:solidFill>
          <w14:schemeClr w14:val="hlink"/>
        </w14:solidFill>
      </w14:textFill>
    </w:rPr>
  </w:style>
  <w:style w:type="character" w:customStyle="1" w:styleId="19">
    <w:name w:val="font01"/>
    <w:basedOn w:val="16"/>
    <w:autoRedefine/>
    <w:qFormat/>
    <w:uiPriority w:val="0"/>
    <w:rPr>
      <w:rFonts w:hint="eastAsia" w:ascii="宋体" w:hAnsi="宋体" w:eastAsia="宋体" w:cs="宋体"/>
      <w:color w:val="000000"/>
      <w:sz w:val="22"/>
      <w:szCs w:val="22"/>
      <w:u w:val="none"/>
    </w:rPr>
  </w:style>
  <w:style w:type="character" w:customStyle="1" w:styleId="20">
    <w:name w:val="font21"/>
    <w:basedOn w:val="16"/>
    <w:autoRedefine/>
    <w:qFormat/>
    <w:uiPriority w:val="0"/>
    <w:rPr>
      <w:rFonts w:hint="default" w:ascii="Times New Roman" w:hAnsi="Times New Roman" w:cs="Times New Roman"/>
      <w:color w:val="000000"/>
      <w:sz w:val="22"/>
      <w:szCs w:val="22"/>
      <w:u w:val="none"/>
    </w:rPr>
  </w:style>
  <w:style w:type="character" w:customStyle="1" w:styleId="21">
    <w:name w:val="font41"/>
    <w:basedOn w:val="16"/>
    <w:autoRedefine/>
    <w:qFormat/>
    <w:uiPriority w:val="0"/>
    <w:rPr>
      <w:rFonts w:hint="eastAsia" w:ascii="宋体" w:hAnsi="宋体" w:eastAsia="宋体" w:cs="宋体"/>
      <w:color w:val="000000"/>
      <w:sz w:val="22"/>
      <w:szCs w:val="22"/>
      <w:u w:val="none"/>
    </w:rPr>
  </w:style>
  <w:style w:type="character" w:customStyle="1" w:styleId="22">
    <w:name w:val="font81"/>
    <w:basedOn w:val="16"/>
    <w:autoRedefine/>
    <w:qFormat/>
    <w:uiPriority w:val="0"/>
    <w:rPr>
      <w:rFonts w:hint="eastAsia" w:ascii="宋体" w:hAnsi="宋体" w:eastAsia="宋体" w:cs="宋体"/>
      <w:color w:val="000000"/>
      <w:sz w:val="22"/>
      <w:szCs w:val="22"/>
      <w:u w:val="none"/>
    </w:rPr>
  </w:style>
  <w:style w:type="character" w:customStyle="1" w:styleId="23">
    <w:name w:val="font61"/>
    <w:basedOn w:val="16"/>
    <w:autoRedefine/>
    <w:qFormat/>
    <w:uiPriority w:val="0"/>
    <w:rPr>
      <w:rFonts w:hint="default" w:ascii="Times New Roman" w:hAnsi="Times New Roman" w:cs="Times New Roman"/>
      <w:color w:val="000000"/>
      <w:sz w:val="22"/>
      <w:szCs w:val="22"/>
      <w:u w:val="none"/>
    </w:rPr>
  </w:style>
  <w:style w:type="character" w:customStyle="1" w:styleId="24">
    <w:name w:val="标题 2 字符"/>
    <w:basedOn w:val="16"/>
    <w:link w:val="5"/>
    <w:autoRedefine/>
    <w:qFormat/>
    <w:uiPriority w:val="0"/>
    <w:rPr>
      <w:rFonts w:asciiTheme="majorHAnsi" w:hAnsiTheme="majorHAnsi" w:eastAsiaTheme="majorEastAsia" w:cstheme="majorBidi"/>
      <w:b/>
      <w:bCs/>
      <w:kern w:val="2"/>
      <w:sz w:val="32"/>
      <w:szCs w:val="32"/>
    </w:rPr>
  </w:style>
  <w:style w:type="character" w:customStyle="1" w:styleId="25">
    <w:name w:val="标题 3 字符"/>
    <w:basedOn w:val="16"/>
    <w:link w:val="6"/>
    <w:autoRedefine/>
    <w:qFormat/>
    <w:uiPriority w:val="0"/>
    <w:rPr>
      <w:b/>
      <w:bCs/>
      <w:kern w:val="2"/>
      <w:sz w:val="32"/>
      <w:szCs w:val="32"/>
    </w:rPr>
  </w:style>
  <w:style w:type="character" w:customStyle="1" w:styleId="26">
    <w:name w:val="标题 1 字符"/>
    <w:basedOn w:val="16"/>
    <w:link w:val="4"/>
    <w:autoRedefine/>
    <w:qFormat/>
    <w:uiPriority w:val="0"/>
    <w:rPr>
      <w:b/>
      <w:bCs/>
      <w:kern w:val="44"/>
      <w:sz w:val="44"/>
      <w:szCs w:val="44"/>
    </w:rPr>
  </w:style>
  <w:style w:type="paragraph" w:customStyle="1" w:styleId="27">
    <w:name w:val="TOC 标题1"/>
    <w:basedOn w:val="4"/>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28">
    <w:name w:val="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character" w:customStyle="1" w:styleId="29">
    <w:name w:val="font11"/>
    <w:basedOn w:val="16"/>
    <w:autoRedefine/>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9C9E2D-DE63-4C06-92A0-47EB5280D80C}">
  <ds:schemaRefs/>
</ds:datastoreItem>
</file>

<file path=docProps/app.xml><?xml version="1.0" encoding="utf-8"?>
<Properties xmlns="http://schemas.openxmlformats.org/officeDocument/2006/extended-properties" xmlns:vt="http://schemas.openxmlformats.org/officeDocument/2006/docPropsVTypes">
  <Template>Normal</Template>
  <Pages>17</Pages>
  <Words>9321</Words>
  <Characters>9700</Characters>
  <Lines>85</Lines>
  <Paragraphs>24</Paragraphs>
  <TotalTime>1</TotalTime>
  <ScaleCrop>false</ScaleCrop>
  <LinksUpToDate>false</LinksUpToDate>
  <CharactersWithSpaces>9830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2024-12-06T10:50:00Z</dcterms:created>
  <dc:creator>wulala</dc:creator>
  <cp:lastModifiedBy>zouzou</cp:lastModifiedBy>
  <dcterms:modified xsi:type="dcterms:W3CDTF">2025-01-02T10:13:16Z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2021230BD5B34189ABC5B265C8C0A9CD</vt:lpwstr>
  </property>
  <property fmtid="{D5CDD505-2E9C-101B-9397-08002B2CF9AE}" pid="4" name="KSOTemplateDocerSaveRecord">
    <vt:lpwstr>eyJoZGlkIjoiNDk0Y2E2MmEzZTJiYmJlZDM3OGVmOGUxNDBiYTg3ZTgiLCJ1c2VySWQiOiIyMjQ4MDYzOTkifQ==</vt:lpwstr>
  </property>
</Properties>
</file>