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4"/>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4"/>
                    <a:srcRect l="20328" r="22957" b="38481"/>
                    <a:stretch>
                      <a:fillRect/>
                    </a:stretch>
                  </pic:blipFill>
                  <pic:spPr>
                    <a:xfrm>
                      <a:off x="0" y="0"/>
                      <a:ext cx="1421130" cy="1327785"/>
                    </a:xfrm>
                    <a:prstGeom prst="rect">
                      <a:avLst/>
                    </a:prstGeom>
                    <a:noFill/>
                    <a:ln>
                      <a:noFill/>
                    </a:ln>
                  </pic:spPr>
                </pic:pic>
              </a:graphicData>
            </a:graphic>
          </wp:inline>
        </w:drawing>
      </w:r>
    </w:p>
    <w:p>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w:t>
      </w:r>
      <w:r>
        <w:rPr>
          <w:rFonts w:hint="eastAsia" w:eastAsia="华文楷体"/>
          <w:bCs/>
          <w:sz w:val="72"/>
          <w:szCs w:val="72"/>
          <w:lang w:val="en-US" w:eastAsia="zh-CN"/>
        </w:rPr>
        <w:t>3</w:t>
      </w:r>
      <w:r>
        <w:rPr>
          <w:rFonts w:hint="eastAsia" w:ascii="华文楷体" w:hAnsi="华文楷体" w:eastAsia="华文楷体" w:cs="华文楷体"/>
          <w:bCs/>
          <w:sz w:val="72"/>
          <w:szCs w:val="72"/>
        </w:rPr>
        <w:t>）</w:t>
      </w:r>
    </w:p>
    <w:tbl>
      <w:tblPr>
        <w:tblStyle w:val="14"/>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4"/>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 xml:space="preserve">名称：工商管理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t>代码： 120202</w:t>
            </w:r>
          </w:p>
        </w:tc>
      </w:tr>
    </w:tbl>
    <w:p>
      <w:pPr>
        <w:widowControl/>
        <w:spacing w:before="468" w:beforeLines="150" w:afterAutospacing="1"/>
        <w:ind w:firstLine="1374" w:firstLineChars="300"/>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4"/>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pPr>
        <w:widowControl/>
        <w:spacing w:before="243" w:afterAutospacing="1"/>
        <w:ind w:firstLine="2880" w:firstLineChars="900"/>
        <w:jc w:val="left"/>
        <w:rPr>
          <w:rFonts w:ascii="仿宋" w:hAnsi="仿宋" w:eastAsia="仿宋" w:cs="仿宋"/>
          <w:kern w:val="0"/>
          <w:sz w:val="32"/>
          <w:szCs w:val="32"/>
        </w:rPr>
      </w:pPr>
    </w:p>
    <w:p>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w:t>
      </w:r>
      <w:r>
        <w:rPr>
          <w:rFonts w:hint="eastAsia" w:eastAsia="仿宋"/>
          <w:spacing w:val="-11"/>
          <w:kern w:val="0"/>
          <w:sz w:val="32"/>
          <w:szCs w:val="32"/>
          <w:lang w:val="en-US" w:eastAsia="zh-CN" w:bidi="ar"/>
        </w:rPr>
        <w:t>3</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12月3</w:t>
      </w:r>
      <w:r>
        <w:rPr>
          <w:rFonts w:hint="eastAsia" w:eastAsia="仿宋"/>
          <w:spacing w:val="-11"/>
          <w:kern w:val="0"/>
          <w:sz w:val="32"/>
          <w:szCs w:val="32"/>
          <w:lang w:bidi="ar"/>
        </w:rPr>
        <w:t>1</w:t>
      </w:r>
      <w:r>
        <w:rPr>
          <w:rFonts w:hint="eastAsia" w:ascii="仿宋" w:hAnsi="仿宋" w:eastAsia="仿宋" w:cs="仿宋"/>
          <w:spacing w:val="-11"/>
          <w:kern w:val="0"/>
          <w:sz w:val="32"/>
          <w:szCs w:val="32"/>
          <w:lang w:bidi="ar"/>
        </w:rPr>
        <w:t>日</w:t>
      </w:r>
    </w:p>
    <w:p>
      <w:pPr>
        <w:spacing w:before="312" w:beforeLines="100" w:after="312" w:afterLines="100"/>
        <w:jc w:val="center"/>
        <w:rPr>
          <w:rFonts w:ascii="黑体" w:hAnsi="黑体" w:eastAsia="黑体" w:cs="黑体"/>
          <w:bCs/>
          <w:sz w:val="44"/>
          <w:szCs w:val="44"/>
        </w:rPr>
      </w:pPr>
      <w:r>
        <w:rPr>
          <w:rFonts w:hint="eastAsia" w:ascii="黑体" w:hAnsi="黑体" w:eastAsia="黑体" w:cs="黑体"/>
          <w:bCs/>
          <w:sz w:val="44"/>
          <w:szCs w:val="44"/>
        </w:rPr>
        <w:t xml:space="preserve"> </w:t>
      </w:r>
    </w:p>
    <w:sdt>
      <w:sdtPr>
        <w:rPr>
          <w:rFonts w:ascii="黑体" w:hAnsi="黑体" w:eastAsia="黑体" w:cs="黑体"/>
          <w:bCs/>
          <w:sz w:val="44"/>
          <w:szCs w:val="44"/>
        </w:rPr>
        <w:id w:val="-2004427876"/>
        <w:docPartObj>
          <w:docPartGallery w:val="Table of Contents"/>
          <w:docPartUnique/>
        </w:docPartObj>
      </w:sdtPr>
      <w:sdtEndPr>
        <w:rPr>
          <w:rFonts w:ascii="Times New Roman" w:hAnsi="Times New Roman" w:eastAsia="宋体" w:cs="Times New Roman"/>
          <w:b/>
          <w:bCs/>
          <w:sz w:val="21"/>
          <w:szCs w:val="20"/>
          <w:lang w:val="zh-CN"/>
        </w:rPr>
      </w:sdtEndPr>
      <w:sdtContent>
        <w:p>
          <w:pPr>
            <w:spacing w:before="312" w:beforeLines="100" w:after="312" w:afterLines="100"/>
            <w:jc w:val="center"/>
          </w:pPr>
          <w:bookmarkStart w:id="52" w:name="_GoBack"/>
          <w:bookmarkEnd w:id="52"/>
          <w:r>
            <w:rPr>
              <w:rFonts w:hint="eastAsia" w:ascii="黑体" w:hAnsi="黑体" w:eastAsia="黑体" w:cs="黑体"/>
              <w:bCs/>
              <w:sz w:val="44"/>
              <w:szCs w:val="44"/>
            </w:rPr>
            <w:t xml:space="preserve">目 </w:t>
          </w:r>
          <w:r>
            <w:rPr>
              <w:rFonts w:ascii="黑体" w:hAnsi="黑体" w:eastAsia="黑体" w:cs="黑体"/>
              <w:bCs/>
              <w:sz w:val="44"/>
              <w:szCs w:val="44"/>
            </w:rPr>
            <w:t xml:space="preserve"> </w:t>
          </w:r>
          <w:r>
            <w:rPr>
              <w:rFonts w:hint="eastAsia" w:ascii="黑体" w:hAnsi="黑体" w:eastAsia="黑体" w:cs="黑体"/>
              <w:bCs/>
              <w:sz w:val="44"/>
              <w:szCs w:val="44"/>
            </w:rPr>
            <w:t>录</w:t>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TOC \o "1-3" \h \z \u </w:instrText>
          </w:r>
          <w:r>
            <w:fldChar w:fldCharType="separate"/>
          </w:r>
          <w:r>
            <w:fldChar w:fldCharType="begin"/>
          </w:r>
          <w:r>
            <w:instrText xml:space="preserve"> HYPERLINK \l "_Toc92275532" </w:instrText>
          </w:r>
          <w:r>
            <w:fldChar w:fldCharType="separate"/>
          </w:r>
          <w:r>
            <w:rPr>
              <w:rStyle w:val="17"/>
              <w:rFonts w:ascii="黑体" w:hAnsi="黑体" w:eastAsia="黑体"/>
              <w:color w:val="auto"/>
              <w:sz w:val="24"/>
              <w:szCs w:val="24"/>
            </w:rPr>
            <w:t>一、总体概况</w:t>
          </w:r>
          <w:r>
            <w:rPr>
              <w:sz w:val="24"/>
              <w:szCs w:val="24"/>
            </w:rPr>
            <w:tab/>
          </w:r>
          <w:r>
            <w:rPr>
              <w:sz w:val="24"/>
              <w:szCs w:val="24"/>
            </w:rPr>
            <w:fldChar w:fldCharType="begin"/>
          </w:r>
          <w:r>
            <w:rPr>
              <w:sz w:val="24"/>
              <w:szCs w:val="24"/>
            </w:rPr>
            <w:instrText xml:space="preserve"> PAGEREF _Toc92275532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"_Toc92275533" </w:instrText>
          </w:r>
          <w:r>
            <w:fldChar w:fldCharType="separate"/>
          </w:r>
          <w:r>
            <w:rPr>
              <w:rStyle w:val="17"/>
              <w:rFonts w:eastAsia="仿宋_GB2312"/>
              <w:color w:val="auto"/>
              <w:sz w:val="24"/>
              <w:szCs w:val="24"/>
            </w:rPr>
            <w:t>1.学位授权点基本情况</w:t>
          </w:r>
          <w:r>
            <w:rPr>
              <w:sz w:val="24"/>
              <w:szCs w:val="24"/>
            </w:rPr>
            <w:tab/>
          </w:r>
          <w:r>
            <w:rPr>
              <w:sz w:val="24"/>
              <w:szCs w:val="24"/>
            </w:rPr>
            <w:fldChar w:fldCharType="begin"/>
          </w:r>
          <w:r>
            <w:rPr>
              <w:sz w:val="24"/>
              <w:szCs w:val="24"/>
            </w:rPr>
            <w:instrText xml:space="preserve"> PAGEREF _Toc92275533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"_Toc92275534" </w:instrText>
          </w:r>
          <w:r>
            <w:fldChar w:fldCharType="separate"/>
          </w:r>
          <w:r>
            <w:rPr>
              <w:rStyle w:val="17"/>
              <w:rFonts w:eastAsia="仿宋_GB2312"/>
              <w:color w:val="auto"/>
              <w:sz w:val="24"/>
              <w:szCs w:val="24"/>
            </w:rPr>
            <w:t>2.学位授权点建设情况</w:t>
          </w:r>
          <w:r>
            <w:rPr>
              <w:sz w:val="24"/>
              <w:szCs w:val="24"/>
            </w:rPr>
            <w:tab/>
          </w:r>
          <w:r>
            <w:rPr>
              <w:sz w:val="24"/>
              <w:szCs w:val="24"/>
            </w:rPr>
            <w:fldChar w:fldCharType="begin"/>
          </w:r>
          <w:r>
            <w:rPr>
              <w:sz w:val="24"/>
              <w:szCs w:val="24"/>
            </w:rPr>
            <w:instrText xml:space="preserve"> PAGEREF _Toc92275534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"_Toc92275535" </w:instrText>
          </w:r>
          <w:r>
            <w:fldChar w:fldCharType="separate"/>
          </w:r>
          <w:r>
            <w:rPr>
              <w:rStyle w:val="17"/>
              <w:rFonts w:eastAsia="仿宋_GB2312"/>
              <w:color w:val="auto"/>
              <w:sz w:val="24"/>
              <w:szCs w:val="24"/>
            </w:rPr>
            <w:t>3.研究生招生就业情况</w:t>
          </w:r>
          <w:r>
            <w:rPr>
              <w:sz w:val="24"/>
              <w:szCs w:val="24"/>
            </w:rPr>
            <w:tab/>
          </w:r>
          <w:r>
            <w:rPr>
              <w:sz w:val="24"/>
              <w:szCs w:val="24"/>
            </w:rPr>
            <w:fldChar w:fldCharType="begin"/>
          </w:r>
          <w:r>
            <w:rPr>
              <w:sz w:val="24"/>
              <w:szCs w:val="24"/>
            </w:rPr>
            <w:instrText xml:space="preserve"> PAGEREF _Toc92275535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"_Toc92275536" </w:instrText>
          </w:r>
          <w:r>
            <w:fldChar w:fldCharType="separate"/>
          </w:r>
          <w:r>
            <w:rPr>
              <w:rStyle w:val="17"/>
              <w:rFonts w:eastAsia="仿宋_GB2312"/>
              <w:color w:val="auto"/>
              <w:sz w:val="24"/>
              <w:szCs w:val="24"/>
            </w:rPr>
            <w:t>4.研究生导师状况</w:t>
          </w:r>
          <w:r>
            <w:rPr>
              <w:sz w:val="24"/>
              <w:szCs w:val="24"/>
            </w:rPr>
            <w:tab/>
          </w:r>
          <w:r>
            <w:rPr>
              <w:sz w:val="24"/>
              <w:szCs w:val="24"/>
            </w:rPr>
            <w:fldChar w:fldCharType="begin"/>
          </w:r>
          <w:r>
            <w:rPr>
              <w:sz w:val="24"/>
              <w:szCs w:val="24"/>
            </w:rPr>
            <w:instrText xml:space="preserve"> PAGEREF _Toc92275536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"_Toc92275537" </w:instrText>
          </w:r>
          <w:r>
            <w:fldChar w:fldCharType="separate"/>
          </w:r>
          <w:r>
            <w:rPr>
              <w:rStyle w:val="17"/>
              <w:rFonts w:ascii="黑体" w:hAnsi="黑体" w:eastAsia="黑体"/>
              <w:color w:val="auto"/>
              <w:sz w:val="24"/>
              <w:szCs w:val="24"/>
            </w:rPr>
            <w:t>二、研究生党建与思想政治教育工作</w:t>
          </w:r>
          <w:r>
            <w:rPr>
              <w:sz w:val="24"/>
              <w:szCs w:val="24"/>
            </w:rPr>
            <w:tab/>
          </w:r>
          <w:r>
            <w:rPr>
              <w:sz w:val="24"/>
              <w:szCs w:val="24"/>
            </w:rPr>
            <w:fldChar w:fldCharType="begin"/>
          </w:r>
          <w:r>
            <w:rPr>
              <w:sz w:val="24"/>
              <w:szCs w:val="24"/>
            </w:rPr>
            <w:instrText xml:space="preserve"> PAGEREF _Toc92275537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"_Toc92275538" </w:instrText>
          </w:r>
          <w:r>
            <w:fldChar w:fldCharType="separate"/>
          </w:r>
          <w:r>
            <w:rPr>
              <w:rStyle w:val="17"/>
              <w:rFonts w:ascii="仿宋" w:hAnsi="仿宋" w:eastAsia="仿宋"/>
              <w:color w:val="auto"/>
              <w:w w:val="110"/>
              <w:sz w:val="24"/>
              <w:szCs w:val="24"/>
            </w:rPr>
            <w:t>1. 思想政治教育队伍建设</w:t>
          </w:r>
          <w:r>
            <w:rPr>
              <w:sz w:val="24"/>
              <w:szCs w:val="24"/>
            </w:rPr>
            <w:tab/>
          </w:r>
          <w:r>
            <w:rPr>
              <w:sz w:val="24"/>
              <w:szCs w:val="24"/>
            </w:rPr>
            <w:fldChar w:fldCharType="begin"/>
          </w:r>
          <w:r>
            <w:rPr>
              <w:sz w:val="24"/>
              <w:szCs w:val="24"/>
            </w:rPr>
            <w:instrText xml:space="preserve"> PAGEREF _Toc92275538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"_Toc92275539" </w:instrText>
          </w:r>
          <w:r>
            <w:fldChar w:fldCharType="separate"/>
          </w:r>
          <w:r>
            <w:rPr>
              <w:rStyle w:val="17"/>
              <w:rFonts w:ascii="仿宋" w:hAnsi="仿宋" w:eastAsia="仿宋"/>
              <w:color w:val="auto"/>
              <w:w w:val="110"/>
              <w:sz w:val="24"/>
              <w:szCs w:val="24"/>
            </w:rPr>
            <w:t>2. 理想</w:t>
          </w:r>
          <w:r>
            <w:rPr>
              <w:rStyle w:val="17"/>
              <w:rFonts w:eastAsia="仿宋_GB2312"/>
              <w:color w:val="auto"/>
              <w:sz w:val="24"/>
              <w:szCs w:val="24"/>
            </w:rPr>
            <w:t>信念</w:t>
          </w:r>
          <w:r>
            <w:rPr>
              <w:rStyle w:val="17"/>
              <w:rFonts w:ascii="仿宋" w:hAnsi="仿宋" w:eastAsia="仿宋"/>
              <w:color w:val="auto"/>
              <w:w w:val="110"/>
              <w:sz w:val="24"/>
              <w:szCs w:val="24"/>
            </w:rPr>
            <w:t>和社会主义核心价值观教育</w:t>
          </w:r>
          <w:r>
            <w:rPr>
              <w:sz w:val="24"/>
              <w:szCs w:val="24"/>
            </w:rPr>
            <w:tab/>
          </w:r>
          <w:r>
            <w:rPr>
              <w:sz w:val="24"/>
              <w:szCs w:val="24"/>
            </w:rPr>
            <w:fldChar w:fldCharType="begin"/>
          </w:r>
          <w:r>
            <w:rPr>
              <w:sz w:val="24"/>
              <w:szCs w:val="24"/>
            </w:rPr>
            <w:instrText xml:space="preserve"> PAGEREF _Toc92275539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"_Toc92275540" </w:instrText>
          </w:r>
          <w:r>
            <w:fldChar w:fldCharType="separate"/>
          </w:r>
          <w:r>
            <w:rPr>
              <w:rStyle w:val="17"/>
              <w:rFonts w:ascii="仿宋" w:hAnsi="仿宋" w:eastAsia="仿宋"/>
              <w:color w:val="auto"/>
              <w:w w:val="110"/>
              <w:sz w:val="24"/>
              <w:szCs w:val="24"/>
            </w:rPr>
            <w:t>3. 学位点</w:t>
          </w:r>
          <w:r>
            <w:rPr>
              <w:rStyle w:val="17"/>
              <w:rFonts w:eastAsia="仿宋_GB2312"/>
              <w:color w:val="auto"/>
              <w:sz w:val="24"/>
              <w:szCs w:val="24"/>
            </w:rPr>
            <w:t>文化</w:t>
          </w:r>
          <w:r>
            <w:rPr>
              <w:rStyle w:val="17"/>
              <w:rFonts w:ascii="仿宋" w:hAnsi="仿宋" w:eastAsia="仿宋"/>
              <w:color w:val="auto"/>
              <w:w w:val="110"/>
              <w:sz w:val="24"/>
              <w:szCs w:val="24"/>
            </w:rPr>
            <w:t>建设情况</w:t>
          </w:r>
          <w:r>
            <w:rPr>
              <w:sz w:val="24"/>
              <w:szCs w:val="24"/>
            </w:rPr>
            <w:tab/>
          </w:r>
          <w:r>
            <w:rPr>
              <w:sz w:val="24"/>
              <w:szCs w:val="24"/>
            </w:rPr>
            <w:fldChar w:fldCharType="begin"/>
          </w:r>
          <w:r>
            <w:rPr>
              <w:sz w:val="24"/>
              <w:szCs w:val="24"/>
            </w:rPr>
            <w:instrText xml:space="preserve"> PAGEREF _Toc92275540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"_Toc92275541" </w:instrText>
          </w:r>
          <w:r>
            <w:fldChar w:fldCharType="separate"/>
          </w:r>
          <w:r>
            <w:rPr>
              <w:rStyle w:val="17"/>
              <w:rFonts w:ascii="仿宋" w:hAnsi="仿宋" w:eastAsia="仿宋"/>
              <w:color w:val="auto"/>
              <w:w w:val="110"/>
              <w:sz w:val="24"/>
              <w:szCs w:val="24"/>
            </w:rPr>
            <w:t>4. 学位点日常</w:t>
          </w:r>
          <w:r>
            <w:rPr>
              <w:rStyle w:val="17"/>
              <w:rFonts w:eastAsia="仿宋_GB2312"/>
              <w:color w:val="auto"/>
              <w:sz w:val="24"/>
              <w:szCs w:val="24"/>
            </w:rPr>
            <w:t>管理</w:t>
          </w:r>
          <w:r>
            <w:rPr>
              <w:rStyle w:val="17"/>
              <w:rFonts w:ascii="仿宋" w:hAnsi="仿宋" w:eastAsia="仿宋"/>
              <w:color w:val="auto"/>
              <w:w w:val="110"/>
              <w:sz w:val="24"/>
              <w:szCs w:val="24"/>
            </w:rPr>
            <w:t>、服务工作情况</w:t>
          </w:r>
          <w:r>
            <w:rPr>
              <w:sz w:val="24"/>
              <w:szCs w:val="24"/>
            </w:rPr>
            <w:tab/>
          </w:r>
          <w:r>
            <w:rPr>
              <w:sz w:val="24"/>
              <w:szCs w:val="24"/>
            </w:rPr>
            <w:fldChar w:fldCharType="begin"/>
          </w:r>
          <w:r>
            <w:rPr>
              <w:sz w:val="24"/>
              <w:szCs w:val="24"/>
            </w:rPr>
            <w:instrText xml:space="preserve"> PAGEREF _Toc92275541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"_Toc92275542" </w:instrText>
          </w:r>
          <w:r>
            <w:fldChar w:fldCharType="separate"/>
          </w:r>
          <w:r>
            <w:rPr>
              <w:rStyle w:val="17"/>
              <w:rFonts w:ascii="黑体" w:hAnsi="黑体" w:eastAsia="黑体"/>
              <w:color w:val="auto"/>
              <w:sz w:val="24"/>
              <w:szCs w:val="24"/>
            </w:rPr>
            <w:t>三、研究生培养相关制度及执行情况</w:t>
          </w:r>
          <w:r>
            <w:rPr>
              <w:sz w:val="24"/>
              <w:szCs w:val="24"/>
            </w:rPr>
            <w:tab/>
          </w:r>
          <w:r>
            <w:rPr>
              <w:sz w:val="24"/>
              <w:szCs w:val="24"/>
            </w:rPr>
            <w:fldChar w:fldCharType="begin"/>
          </w:r>
          <w:r>
            <w:rPr>
              <w:sz w:val="24"/>
              <w:szCs w:val="24"/>
            </w:rPr>
            <w:instrText xml:space="preserve"> PAGEREF _Toc92275542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"_Toc92275543" </w:instrText>
          </w:r>
          <w:r>
            <w:fldChar w:fldCharType="separate"/>
          </w:r>
          <w:r>
            <w:rPr>
              <w:rStyle w:val="17"/>
              <w:rFonts w:ascii="仿宋" w:hAnsi="仿宋" w:eastAsia="仿宋"/>
              <w:color w:val="auto"/>
              <w:w w:val="110"/>
              <w:sz w:val="24"/>
              <w:szCs w:val="24"/>
            </w:rPr>
            <w:t>1. 课程建设与实施情况</w:t>
          </w:r>
          <w:r>
            <w:rPr>
              <w:sz w:val="24"/>
              <w:szCs w:val="24"/>
            </w:rPr>
            <w:tab/>
          </w:r>
          <w:r>
            <w:rPr>
              <w:sz w:val="24"/>
              <w:szCs w:val="24"/>
            </w:rPr>
            <w:fldChar w:fldCharType="begin"/>
          </w:r>
          <w:r>
            <w:rPr>
              <w:sz w:val="24"/>
              <w:szCs w:val="24"/>
            </w:rPr>
            <w:instrText xml:space="preserve"> PAGEREF _Toc92275543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"_Toc92275544" </w:instrText>
          </w:r>
          <w:r>
            <w:fldChar w:fldCharType="separate"/>
          </w:r>
          <w:r>
            <w:rPr>
              <w:rStyle w:val="17"/>
              <w:rFonts w:ascii="仿宋" w:hAnsi="仿宋" w:eastAsia="仿宋"/>
              <w:color w:val="auto"/>
              <w:w w:val="110"/>
              <w:sz w:val="24"/>
              <w:szCs w:val="24"/>
            </w:rPr>
            <w:t>2. 导师选拔与</w:t>
          </w:r>
          <w:r>
            <w:rPr>
              <w:rStyle w:val="17"/>
              <w:rFonts w:eastAsia="仿宋_GB2312"/>
              <w:color w:val="auto"/>
              <w:sz w:val="24"/>
              <w:szCs w:val="24"/>
            </w:rPr>
            <w:t>培训</w:t>
          </w:r>
          <w:r>
            <w:rPr>
              <w:rStyle w:val="17"/>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"_Toc92275545" </w:instrText>
          </w:r>
          <w:r>
            <w:fldChar w:fldCharType="separate"/>
          </w:r>
          <w:r>
            <w:rPr>
              <w:rStyle w:val="17"/>
              <w:rFonts w:ascii="仿宋" w:hAnsi="仿宋" w:eastAsia="仿宋"/>
              <w:color w:val="auto"/>
              <w:w w:val="110"/>
              <w:sz w:val="24"/>
              <w:szCs w:val="24"/>
            </w:rPr>
            <w:t>3. 师德师风建设情况</w:t>
          </w:r>
          <w:r>
            <w:rPr>
              <w:sz w:val="24"/>
              <w:szCs w:val="24"/>
            </w:rPr>
            <w:tab/>
          </w:r>
          <w:r>
            <w:rPr>
              <w:sz w:val="24"/>
              <w:szCs w:val="24"/>
            </w:rPr>
            <w:fldChar w:fldCharType="begin"/>
          </w:r>
          <w:r>
            <w:rPr>
              <w:sz w:val="24"/>
              <w:szCs w:val="24"/>
            </w:rPr>
            <w:instrText xml:space="preserve"> PAGEREF _Toc92275545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"_Toc92275546" </w:instrText>
          </w:r>
          <w:r>
            <w:fldChar w:fldCharType="separate"/>
          </w:r>
          <w:r>
            <w:rPr>
              <w:rStyle w:val="17"/>
              <w:rFonts w:ascii="仿宋" w:hAnsi="仿宋" w:eastAsia="仿宋"/>
              <w:color w:val="auto"/>
              <w:w w:val="110"/>
              <w:sz w:val="24"/>
              <w:szCs w:val="24"/>
            </w:rPr>
            <w:t>4. 学术</w:t>
          </w:r>
          <w:r>
            <w:rPr>
              <w:rStyle w:val="17"/>
              <w:rFonts w:eastAsia="仿宋_GB2312"/>
              <w:color w:val="auto"/>
              <w:sz w:val="24"/>
              <w:szCs w:val="24"/>
            </w:rPr>
            <w:t>训练</w:t>
          </w:r>
          <w:r>
            <w:rPr>
              <w:rStyle w:val="17"/>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"_Toc92275547" </w:instrText>
          </w:r>
          <w:r>
            <w:fldChar w:fldCharType="separate"/>
          </w:r>
          <w:r>
            <w:rPr>
              <w:rStyle w:val="17"/>
              <w:rFonts w:ascii="仿宋" w:hAnsi="仿宋" w:eastAsia="仿宋"/>
              <w:color w:val="auto"/>
              <w:w w:val="110"/>
              <w:sz w:val="24"/>
              <w:szCs w:val="24"/>
            </w:rPr>
            <w:t>5. 学术</w:t>
          </w:r>
          <w:r>
            <w:rPr>
              <w:rStyle w:val="17"/>
              <w:rFonts w:eastAsia="仿宋_GB2312"/>
              <w:color w:val="auto"/>
              <w:sz w:val="24"/>
              <w:szCs w:val="24"/>
            </w:rPr>
            <w:t>交流</w:t>
          </w:r>
          <w:r>
            <w:rPr>
              <w:rStyle w:val="17"/>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"_Toc92275548" </w:instrText>
          </w:r>
          <w:r>
            <w:fldChar w:fldCharType="separate"/>
          </w:r>
          <w:r>
            <w:rPr>
              <w:rStyle w:val="17"/>
              <w:rFonts w:ascii="仿宋" w:hAnsi="仿宋" w:eastAsia="仿宋"/>
              <w:color w:val="auto"/>
              <w:w w:val="110"/>
              <w:sz w:val="24"/>
              <w:szCs w:val="24"/>
            </w:rPr>
            <w:t>6. 研究生奖助情况</w:t>
          </w:r>
          <w:r>
            <w:rPr>
              <w:sz w:val="24"/>
              <w:szCs w:val="24"/>
            </w:rPr>
            <w:tab/>
          </w:r>
          <w:r>
            <w:rPr>
              <w:sz w:val="24"/>
              <w:szCs w:val="24"/>
            </w:rPr>
            <w:fldChar w:fldCharType="begin"/>
          </w:r>
          <w:r>
            <w:rPr>
              <w:sz w:val="24"/>
              <w:szCs w:val="24"/>
            </w:rPr>
            <w:instrText xml:space="preserve"> PAGEREF _Toc92275548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"_Toc92275549" </w:instrText>
          </w:r>
          <w:r>
            <w:fldChar w:fldCharType="separate"/>
          </w:r>
          <w:r>
            <w:rPr>
              <w:rStyle w:val="17"/>
              <w:rFonts w:ascii="黑体" w:hAnsi="黑体" w:eastAsia="黑体"/>
              <w:color w:val="auto"/>
              <w:sz w:val="24"/>
              <w:szCs w:val="24"/>
            </w:rPr>
            <w:t>四、研究生教育改革情况</w:t>
          </w:r>
          <w:r>
            <w:rPr>
              <w:sz w:val="24"/>
              <w:szCs w:val="24"/>
            </w:rPr>
            <w:tab/>
          </w:r>
          <w:r>
            <w:rPr>
              <w:sz w:val="24"/>
              <w:szCs w:val="24"/>
            </w:rPr>
            <w:fldChar w:fldCharType="begin"/>
          </w:r>
          <w:r>
            <w:rPr>
              <w:sz w:val="24"/>
              <w:szCs w:val="24"/>
            </w:rPr>
            <w:instrText xml:space="preserve"> PAGEREF _Toc92275549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"_Toc92275550" </w:instrText>
          </w:r>
          <w:r>
            <w:fldChar w:fldCharType="separate"/>
          </w:r>
          <w:r>
            <w:rPr>
              <w:rStyle w:val="17"/>
              <w:rFonts w:ascii="仿宋" w:hAnsi="仿宋" w:eastAsia="仿宋"/>
              <w:color w:val="auto"/>
              <w:w w:val="110"/>
              <w:sz w:val="24"/>
              <w:szCs w:val="24"/>
            </w:rPr>
            <w:t>1. 人才培养情况</w:t>
          </w:r>
          <w:r>
            <w:rPr>
              <w:sz w:val="24"/>
              <w:szCs w:val="24"/>
            </w:rPr>
            <w:tab/>
          </w:r>
          <w:r>
            <w:rPr>
              <w:sz w:val="24"/>
              <w:szCs w:val="24"/>
            </w:rPr>
            <w:fldChar w:fldCharType="begin"/>
          </w:r>
          <w:r>
            <w:rPr>
              <w:sz w:val="24"/>
              <w:szCs w:val="24"/>
            </w:rPr>
            <w:instrText xml:space="preserve"> PAGEREF _Toc92275550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"_Toc92275551" </w:instrText>
          </w:r>
          <w:r>
            <w:fldChar w:fldCharType="separate"/>
          </w:r>
          <w:r>
            <w:rPr>
              <w:rStyle w:val="17"/>
              <w:rFonts w:ascii="仿宋" w:hAnsi="仿宋" w:eastAsia="仿宋"/>
              <w:color w:val="auto"/>
              <w:w w:val="110"/>
              <w:sz w:val="24"/>
              <w:szCs w:val="24"/>
            </w:rPr>
            <w:t>2. 教师队伍</w:t>
          </w:r>
          <w:r>
            <w:rPr>
              <w:rStyle w:val="17"/>
              <w:rFonts w:eastAsia="仿宋_GB2312"/>
              <w:color w:val="auto"/>
              <w:sz w:val="24"/>
              <w:szCs w:val="24"/>
            </w:rPr>
            <w:t>建设</w:t>
          </w:r>
          <w:r>
            <w:rPr>
              <w:rStyle w:val="17"/>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_Toc92275551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"_Toc92275552" </w:instrText>
          </w:r>
          <w:r>
            <w:fldChar w:fldCharType="separate"/>
          </w:r>
          <w:r>
            <w:rPr>
              <w:rStyle w:val="17"/>
              <w:rFonts w:ascii="仿宋" w:hAnsi="仿宋" w:eastAsia="仿宋"/>
              <w:color w:val="auto"/>
              <w:w w:val="110"/>
              <w:sz w:val="24"/>
              <w:szCs w:val="24"/>
            </w:rPr>
            <w:t>3. 科学研究</w:t>
          </w:r>
          <w:r>
            <w:rPr>
              <w:rStyle w:val="17"/>
              <w:rFonts w:eastAsia="仿宋_GB2312"/>
              <w:color w:val="auto"/>
              <w:sz w:val="24"/>
              <w:szCs w:val="24"/>
            </w:rPr>
            <w:t>情况</w:t>
          </w:r>
          <w:r>
            <w:rPr>
              <w:sz w:val="24"/>
              <w:szCs w:val="24"/>
            </w:rPr>
            <w:tab/>
          </w:r>
          <w:r>
            <w:rPr>
              <w:sz w:val="24"/>
              <w:szCs w:val="24"/>
            </w:rPr>
            <w:fldChar w:fldCharType="begin"/>
          </w:r>
          <w:r>
            <w:rPr>
              <w:sz w:val="24"/>
              <w:szCs w:val="24"/>
            </w:rPr>
            <w:instrText xml:space="preserve"> PAGEREF _Toc92275552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"_Toc92275553" </w:instrText>
          </w:r>
          <w:r>
            <w:fldChar w:fldCharType="separate"/>
          </w:r>
          <w:r>
            <w:rPr>
              <w:rStyle w:val="17"/>
              <w:rFonts w:ascii="仿宋" w:hAnsi="仿宋" w:eastAsia="仿宋"/>
              <w:color w:val="auto"/>
              <w:w w:val="110"/>
              <w:sz w:val="24"/>
              <w:szCs w:val="24"/>
            </w:rPr>
            <w:t>4. 传承创新优秀学科文化情况</w:t>
          </w:r>
          <w:r>
            <w:rPr>
              <w:sz w:val="24"/>
              <w:szCs w:val="24"/>
            </w:rPr>
            <w:tab/>
          </w:r>
          <w:r>
            <w:rPr>
              <w:sz w:val="24"/>
              <w:szCs w:val="24"/>
            </w:rPr>
            <w:fldChar w:fldCharType="begin"/>
          </w:r>
          <w:r>
            <w:rPr>
              <w:sz w:val="24"/>
              <w:szCs w:val="24"/>
            </w:rPr>
            <w:instrText xml:space="preserve"> PAGEREF _Toc92275553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"_Toc92275554" </w:instrText>
          </w:r>
          <w:r>
            <w:fldChar w:fldCharType="separate"/>
          </w:r>
          <w:r>
            <w:rPr>
              <w:rStyle w:val="17"/>
              <w:rFonts w:ascii="仿宋" w:hAnsi="仿宋" w:eastAsia="仿宋"/>
              <w:color w:val="auto"/>
              <w:w w:val="110"/>
              <w:sz w:val="24"/>
              <w:szCs w:val="24"/>
            </w:rPr>
            <w:t>5.国际交流合作等的改革创新情况</w:t>
          </w:r>
          <w:r>
            <w:rPr>
              <w:sz w:val="24"/>
              <w:szCs w:val="24"/>
            </w:rPr>
            <w:tab/>
          </w:r>
          <w:r>
            <w:rPr>
              <w:sz w:val="24"/>
              <w:szCs w:val="24"/>
            </w:rPr>
            <w:fldChar w:fldCharType="begin"/>
          </w:r>
          <w:r>
            <w:rPr>
              <w:sz w:val="24"/>
              <w:szCs w:val="24"/>
            </w:rPr>
            <w:instrText xml:space="preserve"> PAGEREF _Toc92275554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"_Toc92275555" </w:instrText>
          </w:r>
          <w:r>
            <w:fldChar w:fldCharType="separate"/>
          </w:r>
          <w:r>
            <w:rPr>
              <w:rStyle w:val="17"/>
              <w:rFonts w:ascii="黑体" w:hAnsi="黑体" w:eastAsia="黑体"/>
              <w:color w:val="auto"/>
              <w:sz w:val="24"/>
              <w:szCs w:val="24"/>
            </w:rPr>
            <w:t>五、教育质量评估与分析</w:t>
          </w:r>
          <w:r>
            <w:rPr>
              <w:sz w:val="24"/>
              <w:szCs w:val="24"/>
            </w:rPr>
            <w:tab/>
          </w:r>
          <w:r>
            <w:rPr>
              <w:sz w:val="24"/>
              <w:szCs w:val="24"/>
            </w:rPr>
            <w:fldChar w:fldCharType="begin"/>
          </w:r>
          <w:r>
            <w:rPr>
              <w:sz w:val="24"/>
              <w:szCs w:val="24"/>
            </w:rPr>
            <w:instrText xml:space="preserve"> PAGEREF _Toc92275555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"_Toc92275556" </w:instrText>
          </w:r>
          <w:r>
            <w:fldChar w:fldCharType="separate"/>
          </w:r>
          <w:r>
            <w:rPr>
              <w:rStyle w:val="17"/>
              <w:rFonts w:ascii="仿宋" w:hAnsi="仿宋" w:eastAsia="仿宋"/>
              <w:color w:val="auto"/>
              <w:w w:val="110"/>
              <w:sz w:val="24"/>
              <w:szCs w:val="24"/>
            </w:rPr>
            <w:t>1.学位授权点自我评估进展及问题分析</w:t>
          </w:r>
          <w:r>
            <w:rPr>
              <w:sz w:val="24"/>
              <w:szCs w:val="24"/>
            </w:rPr>
            <w:tab/>
          </w:r>
          <w:r>
            <w:rPr>
              <w:sz w:val="24"/>
              <w:szCs w:val="24"/>
            </w:rPr>
            <w:fldChar w:fldCharType="begin"/>
          </w:r>
          <w:r>
            <w:rPr>
              <w:sz w:val="24"/>
              <w:szCs w:val="24"/>
            </w:rPr>
            <w:instrText xml:space="preserve"> PAGEREF _Toc92275556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"_Toc92275557" </w:instrText>
          </w:r>
          <w:r>
            <w:fldChar w:fldCharType="separate"/>
          </w:r>
          <w:r>
            <w:rPr>
              <w:rStyle w:val="17"/>
              <w:rFonts w:ascii="仿宋" w:hAnsi="仿宋" w:eastAsia="仿宋"/>
              <w:color w:val="auto"/>
              <w:w w:val="110"/>
              <w:sz w:val="24"/>
              <w:szCs w:val="24"/>
            </w:rPr>
            <w:t>2.学位论文抽检情况及问题分析</w:t>
          </w:r>
          <w:r>
            <w:rPr>
              <w:sz w:val="24"/>
              <w:szCs w:val="24"/>
            </w:rPr>
            <w:tab/>
          </w:r>
          <w:r>
            <w:rPr>
              <w:sz w:val="24"/>
              <w:szCs w:val="24"/>
            </w:rPr>
            <w:fldChar w:fldCharType="begin"/>
          </w:r>
          <w:r>
            <w:rPr>
              <w:sz w:val="24"/>
              <w:szCs w:val="24"/>
            </w:rPr>
            <w:instrText xml:space="preserve"> PAGEREF _Toc92275557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"_Toc92275558" </w:instrText>
          </w:r>
          <w:r>
            <w:fldChar w:fldCharType="separate"/>
          </w:r>
          <w:r>
            <w:rPr>
              <w:rStyle w:val="17"/>
              <w:rFonts w:ascii="黑体" w:hAnsi="黑体" w:eastAsia="黑体"/>
              <w:color w:val="auto"/>
              <w:sz w:val="24"/>
              <w:szCs w:val="24"/>
            </w:rPr>
            <w:t>六、改进措施</w:t>
          </w:r>
          <w:r>
            <w:rPr>
              <w:sz w:val="24"/>
              <w:szCs w:val="24"/>
            </w:rPr>
            <w:tab/>
          </w:r>
          <w:r>
            <w:rPr>
              <w:sz w:val="24"/>
              <w:szCs w:val="24"/>
            </w:rPr>
            <w:fldChar w:fldCharType="begin"/>
          </w:r>
          <w:r>
            <w:rPr>
              <w:sz w:val="24"/>
              <w:szCs w:val="24"/>
            </w:rPr>
            <w:instrText xml:space="preserve"> PAGEREF _Toc92275558 \h </w:instrText>
          </w:r>
          <w:r>
            <w:rPr>
              <w:sz w:val="24"/>
              <w:szCs w:val="24"/>
            </w:rPr>
            <w:fldChar w:fldCharType="separate"/>
          </w:r>
          <w:r>
            <w:rPr>
              <w:sz w:val="24"/>
              <w:szCs w:val="24"/>
            </w:rPr>
            <w:t>19</w:t>
          </w:r>
          <w:r>
            <w:rPr>
              <w:sz w:val="24"/>
              <w:szCs w:val="24"/>
            </w:rPr>
            <w:fldChar w:fldCharType="end"/>
          </w:r>
          <w:r>
            <w:rPr>
              <w:sz w:val="24"/>
              <w:szCs w:val="24"/>
            </w:rPr>
            <w:fldChar w:fldCharType="end"/>
          </w:r>
        </w:p>
        <w:p>
          <w:r>
            <w:rPr>
              <w:b/>
              <w:bCs/>
              <w:lang w:val="zh-CN"/>
            </w:rPr>
            <w:fldChar w:fldCharType="end"/>
          </w:r>
        </w:p>
      </w:sdtContent>
    </w:sdt>
    <w:p>
      <w:pPr>
        <w:spacing w:before="624" w:beforeLines="200" w:after="312" w:afterLines="100"/>
        <w:jc w:val="center"/>
        <w:rPr>
          <w:rFonts w:ascii="黑体" w:hAnsi="黑体" w:eastAsia="黑体" w:cs="黑体"/>
          <w:bCs/>
          <w:sz w:val="44"/>
          <w:szCs w:val="44"/>
        </w:rPr>
      </w:pPr>
      <w:r>
        <w:rPr>
          <w:rFonts w:hint="eastAsia" w:ascii="华文中宋" w:hAnsi="华文中宋" w:eastAsia="华文中宋" w:cs="华文中宋"/>
          <w:bCs/>
          <w:sz w:val="44"/>
          <w:szCs w:val="44"/>
        </w:rPr>
        <w:br w:type="page"/>
      </w:r>
    </w:p>
    <w:p>
      <w:pPr>
        <w:pStyle w:val="3"/>
        <w:snapToGrid w:val="0"/>
        <w:spacing w:before="0" w:after="0" w:line="360" w:lineRule="auto"/>
        <w:rPr>
          <w:rFonts w:ascii="黑体" w:hAnsi="黑体" w:eastAsia="黑体"/>
          <w:b w:val="0"/>
          <w:bCs w:val="0"/>
        </w:rPr>
      </w:pPr>
      <w:bookmarkStart w:id="0" w:name="_Toc92275532"/>
      <w:r>
        <w:rPr>
          <w:rFonts w:hint="eastAsia" w:ascii="黑体" w:hAnsi="黑体" w:eastAsia="黑体"/>
          <w:b w:val="0"/>
          <w:bCs w:val="0"/>
        </w:rPr>
        <w:t>一、总体概况</w:t>
      </w:r>
      <w:bookmarkEnd w:id="0"/>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1" w:name="_Toc92275533"/>
      <w:r>
        <w:rPr>
          <w:rFonts w:hint="eastAsia" w:ascii="仿宋" w:hAnsi="仿宋" w:eastAsia="仿宋" w:cs="Times New Roman"/>
          <w:w w:val="110"/>
          <w:sz w:val="30"/>
          <w:szCs w:val="30"/>
        </w:rPr>
        <w:t>1.学位授权点基本情况</w:t>
      </w:r>
      <w:bookmarkEnd w:id="1"/>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吉首大学工商管理是管理学门类的一级学科，学位点相关课程的开设始于1986年，2006年获批企业管理二级学科硕士点，2010年获批工商管理一级学科硕士点。学位点依托“武陵山片区扶贫与发展”湖南省普通高</w:t>
      </w:r>
      <w:r>
        <w:rPr>
          <w:rFonts w:hint="eastAsia" w:ascii="仿宋" w:hAnsi="仿宋" w:eastAsia="仿宋" w:cs="仿宋"/>
          <w:color w:val="auto"/>
          <w:sz w:val="28"/>
          <w:szCs w:val="28"/>
          <w:lang w:val="en-US" w:eastAsia="zh-CN"/>
        </w:rPr>
        <w:t>校2011协同创新中心、</w:t>
      </w:r>
      <w:r>
        <w:rPr>
          <w:rFonts w:hint="eastAsia" w:ascii="仿宋" w:hAnsi="仿宋" w:eastAsia="仿宋" w:cs="仿宋"/>
          <w:sz w:val="28"/>
          <w:szCs w:val="28"/>
          <w:lang w:val="en-US" w:eastAsia="zh-CN"/>
        </w:rPr>
        <w:t>“民族地区扶贫与发展研究中心”湖南省专业特色智库、武陵山片区扶贫与发展协同创新中心博士后科研流动站、全国普通高等学校资助建设专业“工商管理”、国家级一流专业“工商管理”、国家级一流专业“旅游管理”、湖南省一流专业“会计学”、湖南省首届高校科技创新团队“区域旅游发展与管理”、“民族地区‘两民企业’发展” 湖南省研究生培养创新基地、“村镇银行发展与治理创新”湖南省研究生培养创新基地和“金融创新助力乡村振兴”湖南省研究生联合培养基地、湖南省西部经济研究基地等国家及省部级基地与平台10余个，具有较深厚的学科建设基础。</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立足于服务西部地区、民族地区经济社会发展，建成会计学（含MPACC）、企业管理、旅游管理和技术经济及管理四个学科方向，是武陵山片区学科实力最强、影响最大的工商管理学科。至今，已为西部地区经济社会发展培养了大批能够从基层做起、独挡一面的“下得去、留得住、用得上、有发展”的工商管理高级专门人才。</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2" w:name="_Toc92275534"/>
      <w:r>
        <w:rPr>
          <w:rFonts w:hint="eastAsia" w:ascii="仿宋" w:hAnsi="仿宋" w:eastAsia="仿宋" w:cs="Times New Roman"/>
          <w:w w:val="110"/>
          <w:sz w:val="30"/>
          <w:szCs w:val="30"/>
        </w:rPr>
        <w:t>2.学位授权点建设情况</w:t>
      </w:r>
      <w:bookmarkEnd w:id="2"/>
    </w:p>
    <w:p>
      <w:pPr>
        <w:pStyle w:val="6"/>
        <w:tabs>
          <w:tab w:val="left" w:pos="8280"/>
        </w:tabs>
        <w:snapToGrid w:val="0"/>
        <w:spacing w:after="0" w:line="360" w:lineRule="auto"/>
        <w:ind w:right="26" w:firstLine="588" w:firstLineChars="200"/>
        <w:rPr>
          <w:rFonts w:hint="eastAsia" w:ascii="仿宋" w:hAnsi="仿宋" w:eastAsia="仿宋" w:cs="Times New Roman"/>
          <w:spacing w:val="-7"/>
          <w:w w:val="110"/>
          <w:sz w:val="28"/>
          <w:szCs w:val="28"/>
        </w:rPr>
      </w:pPr>
      <w:bookmarkStart w:id="3" w:name="_Hlk92204189"/>
      <w:bookmarkStart w:id="4" w:name="_Hlk92128517"/>
      <w:r>
        <w:rPr>
          <w:rFonts w:hint="eastAsia" w:ascii="仿宋" w:hAnsi="仿宋" w:eastAsia="仿宋" w:cs="Times New Roman"/>
          <w:spacing w:val="-7"/>
          <w:w w:val="110"/>
          <w:sz w:val="28"/>
          <w:szCs w:val="28"/>
        </w:rPr>
        <w:t>本年度学位点</w:t>
      </w:r>
      <w:r>
        <w:rPr>
          <w:rFonts w:hint="eastAsia" w:ascii="仿宋" w:hAnsi="仿宋" w:eastAsia="仿宋" w:cs="Times New Roman"/>
          <w:spacing w:val="-7"/>
          <w:w w:val="110"/>
          <w:sz w:val="28"/>
          <w:szCs w:val="28"/>
          <w:lang w:val="en-US" w:eastAsia="zh-CN"/>
        </w:rPr>
        <w:t>进一步加强了</w:t>
      </w:r>
      <w:r>
        <w:rPr>
          <w:rFonts w:hint="eastAsia" w:ascii="仿宋" w:hAnsi="仿宋" w:eastAsia="仿宋" w:cs="Times New Roman"/>
          <w:spacing w:val="-7"/>
          <w:w w:val="110"/>
          <w:sz w:val="28"/>
          <w:szCs w:val="28"/>
        </w:rPr>
        <w:t>数字经济相关课程</w:t>
      </w:r>
      <w:r>
        <w:rPr>
          <w:rFonts w:hint="eastAsia" w:ascii="仿宋" w:hAnsi="仿宋" w:eastAsia="仿宋" w:cs="Times New Roman"/>
          <w:spacing w:val="-7"/>
          <w:w w:val="110"/>
          <w:sz w:val="28"/>
          <w:szCs w:val="28"/>
          <w:lang w:val="en-US" w:eastAsia="zh-CN"/>
        </w:rPr>
        <w:t>的改革与建设，并根据学院发展的实际</w:t>
      </w:r>
      <w:r>
        <w:rPr>
          <w:rFonts w:hint="eastAsia" w:ascii="仿宋" w:hAnsi="仿宋" w:eastAsia="仿宋" w:cs="Times New Roman"/>
          <w:spacing w:val="-7"/>
          <w:w w:val="110"/>
          <w:sz w:val="28"/>
          <w:szCs w:val="28"/>
        </w:rPr>
        <w:t>，聘请专家进行多轮的研讨论</w:t>
      </w:r>
      <w:r>
        <w:rPr>
          <w:rFonts w:hint="eastAsia" w:ascii="仿宋" w:hAnsi="仿宋" w:eastAsia="仿宋" w:cs="Times New Roman"/>
          <w:spacing w:val="-7"/>
          <w:w w:val="110"/>
          <w:sz w:val="28"/>
          <w:szCs w:val="28"/>
          <w:lang w:val="en-US" w:eastAsia="zh-CN"/>
        </w:rPr>
        <w:t>证</w:t>
      </w:r>
      <w:r>
        <w:rPr>
          <w:rFonts w:hint="eastAsia" w:ascii="仿宋" w:hAnsi="仿宋" w:eastAsia="仿宋" w:cs="Times New Roman"/>
          <w:spacing w:val="-7"/>
          <w:w w:val="110"/>
          <w:sz w:val="28"/>
          <w:szCs w:val="28"/>
        </w:rPr>
        <w:t>，</w:t>
      </w:r>
      <w:r>
        <w:rPr>
          <w:rFonts w:hint="eastAsia" w:ascii="仿宋" w:hAnsi="仿宋" w:eastAsia="仿宋" w:cs="Times New Roman"/>
          <w:spacing w:val="-7"/>
          <w:w w:val="110"/>
          <w:sz w:val="28"/>
          <w:szCs w:val="28"/>
          <w:lang w:val="en-US" w:eastAsia="zh-CN"/>
        </w:rPr>
        <w:t>修订了学位点学位授予条件</w:t>
      </w:r>
      <w:r>
        <w:rPr>
          <w:rFonts w:hint="eastAsia" w:ascii="仿宋" w:hAnsi="仿宋" w:eastAsia="仿宋" w:cs="Times New Roman"/>
          <w:spacing w:val="-7"/>
          <w:w w:val="110"/>
          <w:sz w:val="28"/>
          <w:szCs w:val="28"/>
        </w:rPr>
        <w:t>。同时对人才培养环节</w:t>
      </w:r>
      <w:r>
        <w:rPr>
          <w:rFonts w:hint="eastAsia" w:ascii="仿宋" w:hAnsi="仿宋" w:eastAsia="仿宋" w:cs="Times New Roman"/>
          <w:spacing w:val="-7"/>
          <w:w w:val="110"/>
          <w:sz w:val="28"/>
          <w:szCs w:val="28"/>
          <w:lang w:val="en-US" w:eastAsia="zh-CN"/>
        </w:rPr>
        <w:t>及部分管理制度</w:t>
      </w:r>
      <w:r>
        <w:rPr>
          <w:rFonts w:hint="eastAsia" w:ascii="仿宋" w:hAnsi="仿宋" w:eastAsia="仿宋" w:cs="Times New Roman"/>
          <w:spacing w:val="-7"/>
          <w:w w:val="110"/>
          <w:sz w:val="28"/>
          <w:szCs w:val="28"/>
        </w:rPr>
        <w:t>进行了优化</w:t>
      </w:r>
      <w:r>
        <w:rPr>
          <w:rFonts w:hint="eastAsia" w:ascii="仿宋" w:hAnsi="仿宋" w:eastAsia="仿宋" w:cs="Times New Roman"/>
          <w:spacing w:val="-7"/>
          <w:w w:val="110"/>
          <w:sz w:val="28"/>
          <w:szCs w:val="28"/>
          <w:lang w:val="en-US" w:eastAsia="zh-CN"/>
        </w:rPr>
        <w:t>与</w:t>
      </w:r>
      <w:r>
        <w:rPr>
          <w:rFonts w:hint="eastAsia" w:ascii="仿宋" w:hAnsi="仿宋" w:eastAsia="仿宋" w:cs="Times New Roman"/>
          <w:spacing w:val="-7"/>
          <w:w w:val="110"/>
          <w:sz w:val="28"/>
          <w:szCs w:val="28"/>
        </w:rPr>
        <w:t>完善</w:t>
      </w:r>
      <w:r>
        <w:rPr>
          <w:rFonts w:hint="eastAsia" w:ascii="仿宋" w:hAnsi="仿宋" w:eastAsia="仿宋" w:cs="Times New Roman"/>
          <w:spacing w:val="-7"/>
          <w:w w:val="110"/>
          <w:sz w:val="28"/>
          <w:szCs w:val="28"/>
          <w:lang w:eastAsia="zh-CN"/>
        </w:rPr>
        <w:t>，</w:t>
      </w:r>
      <w:r>
        <w:rPr>
          <w:rFonts w:hint="eastAsia" w:ascii="仿宋" w:hAnsi="仿宋" w:eastAsia="仿宋" w:cs="Times New Roman"/>
          <w:spacing w:val="-7"/>
          <w:w w:val="110"/>
          <w:sz w:val="28"/>
          <w:szCs w:val="28"/>
        </w:rPr>
        <w:t>更好</w:t>
      </w:r>
      <w:r>
        <w:rPr>
          <w:rFonts w:hint="eastAsia" w:ascii="仿宋" w:hAnsi="仿宋" w:eastAsia="仿宋" w:cs="Times New Roman"/>
          <w:spacing w:val="-7"/>
          <w:w w:val="110"/>
          <w:sz w:val="28"/>
          <w:szCs w:val="28"/>
          <w:lang w:val="en-US" w:eastAsia="zh-CN"/>
        </w:rPr>
        <w:t>地</w:t>
      </w:r>
      <w:r>
        <w:rPr>
          <w:rFonts w:hint="eastAsia" w:ascii="仿宋" w:hAnsi="仿宋" w:eastAsia="仿宋" w:cs="Times New Roman"/>
          <w:spacing w:val="-7"/>
          <w:w w:val="110"/>
          <w:sz w:val="28"/>
          <w:szCs w:val="28"/>
        </w:rPr>
        <w:t>保障了人才培养质量。</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在多年的教学和科研工作中，积累了丰富的研究生培养经验，培养了一批杰出的高层次人才，承担完成了一系列国家、省部级和企业委托科研项目，研究经费充足，获得了一系列省部级科研和教学成果，整体水平处于省内高校前列。会计学、企业管理、旅游管理与技术经济及管理四个研究方向进一步凝炼明确，内涵成果更加丰富。</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学位点管理与建设上，学院召开了三次研究生培养工作专题会，充实了研究生培养管理工作队伍，进一步明确了研究生管理人员责任分工，并对学院研究生培养管理工作提出了规范要求；同时，成立了案例开发与教学中心，重点围绕乡村振兴国家战略需求和校友创业企业高质量发展进行的社会调研和案例开发，并聘请湘西自治州乡村振兴局原局长李卫国为学院案例开发项目顾问。年度内共组织了十余支案例调研团队深入湘西自治州各县市开展案例调研；还邀请了Jeff Jia、谭劲松、付春光、李晖等国内外知名专家和杨少良等企业家以及周扬、廖凯诚、刘胜、刘伟等优秀校友来共商学院学科建设和科研工作。</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本年度，学位点积极到省内外高校考察和交流合作，</w:t>
      </w:r>
      <w:bookmarkEnd w:id="3"/>
      <w:r>
        <w:rPr>
          <w:rFonts w:hint="eastAsia" w:ascii="仿宋" w:hAnsi="仿宋" w:eastAsia="仿宋" w:cs="仿宋"/>
          <w:sz w:val="28"/>
          <w:szCs w:val="28"/>
          <w:lang w:val="en-US" w:eastAsia="zh-CN"/>
        </w:rPr>
        <w:t>提升人才培养质量。学位点积极与湖南大学工商管理学院、南华大学经济管理与法学学院、湖南农业大学商学院、湖南科技大学商学院等进行人才培养与学科建设学习交流。2023年学位点积极参加湖南省教育厅举办的各种学位点建设活动、工商管理论坛以及会计论坛。3月18日，龙海军、张琰飞、袁明达等学位点导师参加了在湘潭大学举办的湖南省高校经管类学科院长论坛。12月14日，朱海英、张霞等导师参加了在南华大学举行的湖南省会计学科联盟第九次年会暨2023年学术研讨会，共商“高质量发展背景下的会计理论与实践创新”。</w:t>
      </w:r>
    </w:p>
    <w:bookmarkEnd w:id="4"/>
    <w:p>
      <w:pPr>
        <w:pStyle w:val="4"/>
        <w:snapToGrid w:val="0"/>
        <w:spacing w:before="0" w:after="0" w:line="360" w:lineRule="auto"/>
        <w:ind w:firstLine="662" w:firstLineChars="200"/>
        <w:rPr>
          <w:rFonts w:hint="eastAsia" w:ascii="仿宋" w:hAnsi="仿宋" w:eastAsia="仿宋" w:cs="Times New Roman"/>
          <w:w w:val="110"/>
          <w:sz w:val="30"/>
          <w:szCs w:val="30"/>
        </w:rPr>
      </w:pPr>
      <w:bookmarkStart w:id="5" w:name="_Toc92275535"/>
      <w:bookmarkStart w:id="6" w:name="_Hlk92273217"/>
      <w:r>
        <w:rPr>
          <w:rFonts w:hint="eastAsia" w:ascii="仿宋" w:hAnsi="仿宋" w:eastAsia="仿宋" w:cs="Times New Roman"/>
          <w:w w:val="110"/>
          <w:sz w:val="30"/>
          <w:szCs w:val="30"/>
        </w:rPr>
        <w:t>3.研究生招生就业情况</w:t>
      </w:r>
      <w:bookmarkEnd w:id="5"/>
    </w:p>
    <w:bookmarkEnd w:id="6"/>
    <w:p>
      <w:pPr>
        <w:snapToGrid w:val="0"/>
        <w:spacing w:line="360" w:lineRule="auto"/>
        <w:ind w:firstLine="588" w:firstLineChars="200"/>
        <w:rPr>
          <w:rFonts w:hint="eastAsia" w:ascii="仿宋" w:hAnsi="仿宋" w:eastAsia="仿宋" w:cs="Times New Roman"/>
          <w:spacing w:val="-7"/>
          <w:w w:val="110"/>
          <w:sz w:val="28"/>
          <w:szCs w:val="28"/>
          <w:lang w:val="en-US" w:eastAsia="zh-CN"/>
        </w:rPr>
      </w:pPr>
      <w:bookmarkStart w:id="7" w:name="_Hlk92273347"/>
      <w:r>
        <w:rPr>
          <w:rFonts w:hint="eastAsia" w:ascii="仿宋" w:hAnsi="仿宋" w:eastAsia="仿宋" w:cs="Times New Roman"/>
          <w:spacing w:val="-7"/>
          <w:w w:val="110"/>
          <w:sz w:val="28"/>
          <w:szCs w:val="28"/>
        </w:rPr>
        <w:t>本年度学位点</w:t>
      </w:r>
      <w:r>
        <w:rPr>
          <w:rFonts w:hint="eastAsia" w:ascii="仿宋" w:hAnsi="仿宋" w:eastAsia="仿宋" w:cs="Times New Roman"/>
          <w:spacing w:val="-7"/>
          <w:w w:val="110"/>
          <w:sz w:val="28"/>
          <w:szCs w:val="28"/>
          <w:lang w:val="en-US" w:eastAsia="zh-CN"/>
        </w:rPr>
        <w:t>积极进行招生宣传活动，发布了多项研究生招生和调剂的微信推文，</w:t>
      </w:r>
      <w:bookmarkEnd w:id="7"/>
      <w:r>
        <w:rPr>
          <w:rFonts w:hint="eastAsia" w:ascii="仿宋" w:hAnsi="仿宋" w:eastAsia="仿宋" w:cs="Times New Roman"/>
          <w:spacing w:val="-7"/>
          <w:w w:val="110"/>
          <w:sz w:val="28"/>
          <w:szCs w:val="28"/>
          <w:lang w:val="en-US" w:eastAsia="zh-CN"/>
        </w:rPr>
        <w:t>本年度共招生18名研究生，现有在校研究生数量为55名。2023年毕业研究生19名，授予学位19名，随着疫情防控政策的调整，毕业研究生的就业状况较去年有较大改观，本年度已毕业研究生实现一次就业率89.47%。</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8" w:name="_Toc92275536"/>
      <w:bookmarkStart w:id="9" w:name="_Hlk92273235"/>
      <w:r>
        <w:rPr>
          <w:rFonts w:hint="eastAsia" w:ascii="仿宋" w:hAnsi="仿宋" w:eastAsia="仿宋" w:cs="Times New Roman"/>
          <w:w w:val="110"/>
          <w:sz w:val="30"/>
          <w:szCs w:val="30"/>
        </w:rPr>
        <w:t>4.研究生导师状况</w:t>
      </w:r>
      <w:bookmarkEnd w:id="8"/>
    </w:p>
    <w:bookmarkEnd w:id="9"/>
    <w:p>
      <w:pPr>
        <w:snapToGrid w:val="0"/>
        <w:spacing w:line="360" w:lineRule="auto"/>
        <w:ind w:firstLine="588" w:firstLineChars="200"/>
        <w:rPr>
          <w:rFonts w:hint="eastAsia" w:ascii="仿宋" w:hAnsi="仿宋" w:eastAsia="仿宋"/>
          <w:color w:val="000000" w:themeColor="text1"/>
          <w:spacing w:val="-7"/>
          <w:w w:val="110"/>
          <w:sz w:val="30"/>
          <w:szCs w:val="30"/>
          <w14:textFill>
            <w14:solidFill>
              <w14:schemeClr w14:val="tx1"/>
            </w14:solidFill>
          </w14:textFill>
        </w:rPr>
      </w:pPr>
      <w:r>
        <w:rPr>
          <w:rFonts w:hint="eastAsia" w:ascii="仿宋" w:hAnsi="仿宋" w:eastAsia="仿宋"/>
          <w:color w:val="000000" w:themeColor="text1"/>
          <w:spacing w:val="-7"/>
          <w:w w:val="110"/>
          <w:sz w:val="28"/>
          <w:szCs w:val="28"/>
          <w14:textFill>
            <w14:solidFill>
              <w14:schemeClr w14:val="tx1"/>
            </w14:solidFill>
          </w14:textFill>
        </w:rPr>
        <w:t>学位点现有导师</w:t>
      </w:r>
      <w:r>
        <w:rPr>
          <w:rFonts w:hint="eastAsia" w:ascii="仿宋" w:hAnsi="仿宋" w:eastAsia="仿宋"/>
          <w:color w:val="000000" w:themeColor="text1"/>
          <w:spacing w:val="-7"/>
          <w:w w:val="110"/>
          <w:sz w:val="28"/>
          <w:szCs w:val="28"/>
          <w:lang w:val="en-US" w:eastAsia="zh-CN"/>
          <w14:textFill>
            <w14:solidFill>
              <w14:schemeClr w14:val="tx1"/>
            </w14:solidFill>
          </w14:textFill>
        </w:rPr>
        <w:t>25</w:t>
      </w:r>
      <w:r>
        <w:rPr>
          <w:rFonts w:hint="eastAsia" w:ascii="仿宋" w:hAnsi="仿宋" w:eastAsia="仿宋"/>
          <w:color w:val="000000" w:themeColor="text1"/>
          <w:spacing w:val="-7"/>
          <w:w w:val="110"/>
          <w:sz w:val="28"/>
          <w:szCs w:val="28"/>
          <w14:textFill>
            <w14:solidFill>
              <w14:schemeClr w14:val="tx1"/>
            </w14:solidFill>
          </w14:textFill>
        </w:rPr>
        <w:t>名，</w:t>
      </w:r>
      <w:r>
        <w:rPr>
          <w:rFonts w:hint="eastAsia" w:ascii="仿宋" w:hAnsi="仿宋" w:eastAsia="仿宋"/>
          <w:color w:val="000000" w:themeColor="text1"/>
          <w:spacing w:val="-7"/>
          <w:w w:val="110"/>
          <w:sz w:val="28"/>
          <w:szCs w:val="28"/>
          <w:lang w:val="en-US" w:eastAsia="zh-CN"/>
          <w14:textFill>
            <w14:solidFill>
              <w14:schemeClr w14:val="tx1"/>
            </w14:solidFill>
          </w14:textFill>
        </w:rPr>
        <w:t>其中博士18名，占比72%，</w:t>
      </w:r>
      <w:r>
        <w:rPr>
          <w:rFonts w:hint="eastAsia" w:ascii="仿宋" w:hAnsi="仿宋" w:eastAsia="仿宋"/>
          <w:color w:val="000000" w:themeColor="text1"/>
          <w:spacing w:val="-7"/>
          <w:w w:val="110"/>
          <w:sz w:val="28"/>
          <w:szCs w:val="28"/>
          <w14:textFill>
            <w14:solidFill>
              <w14:schemeClr w14:val="tx1"/>
            </w14:solidFill>
          </w14:textFill>
        </w:rPr>
        <w:t>生师比为</w:t>
      </w:r>
      <w:r>
        <w:rPr>
          <w:rFonts w:hint="eastAsia" w:ascii="仿宋" w:hAnsi="仿宋" w:eastAsia="仿宋"/>
          <w:color w:val="000000" w:themeColor="text1"/>
          <w:spacing w:val="-7"/>
          <w:w w:val="110"/>
          <w:sz w:val="28"/>
          <w:szCs w:val="28"/>
          <w:lang w:val="en-US" w:eastAsia="zh-CN"/>
          <w14:textFill>
            <w14:solidFill>
              <w14:schemeClr w14:val="tx1"/>
            </w14:solidFill>
          </w14:textFill>
        </w:rPr>
        <w:t>2.75</w:t>
      </w:r>
      <w:r>
        <w:rPr>
          <w:rFonts w:hint="eastAsia" w:ascii="仿宋" w:hAnsi="仿宋" w:eastAsia="仿宋"/>
          <w:color w:val="000000" w:themeColor="text1"/>
          <w:spacing w:val="-7"/>
          <w:w w:val="110"/>
          <w:sz w:val="28"/>
          <w:szCs w:val="28"/>
          <w14:textFill>
            <w14:solidFill>
              <w14:schemeClr w14:val="tx1"/>
            </w14:solidFill>
          </w14:textFill>
        </w:rPr>
        <w:t>：1，</w:t>
      </w:r>
      <w:bookmarkStart w:id="10" w:name="_Hlk92273369"/>
      <w:r>
        <w:rPr>
          <w:rFonts w:hint="eastAsia" w:ascii="仿宋" w:hAnsi="仿宋" w:eastAsia="仿宋"/>
          <w:color w:val="000000" w:themeColor="text1"/>
          <w:spacing w:val="-7"/>
          <w:w w:val="110"/>
          <w:sz w:val="28"/>
          <w:szCs w:val="28"/>
          <w14:textFill>
            <w14:solidFill>
              <w14:schemeClr w14:val="tx1"/>
            </w14:solidFill>
          </w14:textFill>
        </w:rPr>
        <w:t>共有专任教师40人，其中教授1</w:t>
      </w:r>
      <w:r>
        <w:rPr>
          <w:rFonts w:hint="eastAsia" w:ascii="仿宋" w:hAnsi="仿宋" w:eastAsia="仿宋"/>
          <w:color w:val="000000" w:themeColor="text1"/>
          <w:spacing w:val="-7"/>
          <w:w w:val="110"/>
          <w:sz w:val="28"/>
          <w:szCs w:val="28"/>
          <w:lang w:val="en-US" w:eastAsia="zh-CN"/>
          <w14:textFill>
            <w14:solidFill>
              <w14:schemeClr w14:val="tx1"/>
            </w14:solidFill>
          </w14:textFill>
        </w:rPr>
        <w:t>3</w:t>
      </w:r>
      <w:r>
        <w:rPr>
          <w:rFonts w:hint="eastAsia" w:ascii="仿宋" w:hAnsi="仿宋" w:eastAsia="仿宋"/>
          <w:color w:val="000000" w:themeColor="text1"/>
          <w:spacing w:val="-7"/>
          <w:w w:val="110"/>
          <w:sz w:val="28"/>
          <w:szCs w:val="28"/>
          <w14:textFill>
            <w14:solidFill>
              <w14:schemeClr w14:val="tx1"/>
            </w14:solidFill>
          </w14:textFill>
        </w:rPr>
        <w:t>人、副教授18人，博士22人，教育部新世纪人才计划人选2人，湖南省“百人计划”专家1人，省级学科带头人2人；教师年龄结构以中青年教师为主，学缘结构合理，多来自中山大学、中南大学、西南财经大学、北京林业科技大学等国内著名高校。</w:t>
      </w:r>
      <w:bookmarkEnd w:id="10"/>
      <w:bookmarkStart w:id="11" w:name="_Toc92275537"/>
    </w:p>
    <w:p>
      <w:pPr>
        <w:pStyle w:val="3"/>
        <w:snapToGrid w:val="0"/>
        <w:spacing w:before="0" w:after="0" w:line="240" w:lineRule="auto"/>
        <w:rPr>
          <w:rFonts w:hint="eastAsia" w:ascii="黑体" w:hAnsi="黑体" w:eastAsia="黑体"/>
          <w:b w:val="0"/>
          <w:bCs w:val="0"/>
        </w:rPr>
      </w:pPr>
    </w:p>
    <w:p>
      <w:pPr>
        <w:pStyle w:val="3"/>
        <w:snapToGrid w:val="0"/>
        <w:spacing w:before="0" w:after="0" w:line="240" w:lineRule="auto"/>
        <w:rPr>
          <w:rFonts w:hint="eastAsia" w:ascii="黑体" w:hAnsi="黑体" w:eastAsia="黑体"/>
          <w:b w:val="0"/>
          <w:bCs w:val="0"/>
        </w:rPr>
      </w:pPr>
      <w:r>
        <w:rPr>
          <w:rFonts w:hint="eastAsia" w:ascii="黑体" w:hAnsi="黑体" w:eastAsia="黑体"/>
          <w:b w:val="0"/>
          <w:bCs w:val="0"/>
        </w:rPr>
        <w:t>二、研究生党建与思想政治教育工作</w:t>
      </w:r>
      <w:bookmarkEnd w:id="11"/>
    </w:p>
    <w:p>
      <w:pPr>
        <w:pStyle w:val="4"/>
        <w:snapToGrid w:val="0"/>
        <w:spacing w:before="0" w:after="0" w:line="360" w:lineRule="auto"/>
        <w:ind w:firstLine="662" w:firstLineChars="200"/>
        <w:rPr>
          <w:rFonts w:ascii="仿宋" w:hAnsi="仿宋" w:eastAsia="仿宋"/>
          <w:w w:val="110"/>
          <w:sz w:val="30"/>
          <w:szCs w:val="30"/>
        </w:rPr>
      </w:pPr>
      <w:bookmarkStart w:id="12" w:name="_Toc92275538"/>
      <w:bookmarkStart w:id="13" w:name="_Hlk92201961"/>
      <w:r>
        <w:rPr>
          <w:rFonts w:hint="eastAsia" w:ascii="仿宋" w:hAnsi="仿宋" w:eastAsia="仿宋"/>
          <w:w w:val="110"/>
          <w:sz w:val="30"/>
          <w:szCs w:val="30"/>
        </w:rPr>
        <w:t>1</w:t>
      </w:r>
      <w:r>
        <w:rPr>
          <w:rFonts w:ascii="仿宋" w:hAnsi="仿宋" w:eastAsia="仿宋"/>
          <w:w w:val="110"/>
          <w:sz w:val="30"/>
          <w:szCs w:val="30"/>
        </w:rPr>
        <w:t xml:space="preserve">. </w:t>
      </w:r>
      <w:r>
        <w:rPr>
          <w:rFonts w:hint="eastAsia" w:ascii="仿宋" w:hAnsi="仿宋" w:eastAsia="仿宋"/>
          <w:w w:val="110"/>
          <w:sz w:val="30"/>
          <w:szCs w:val="30"/>
        </w:rPr>
        <w:t>思想政治教育队伍建设</w:t>
      </w:r>
      <w:bookmarkEnd w:id="12"/>
    </w:p>
    <w:p>
      <w:pPr>
        <w:snapToGrid w:val="0"/>
        <w:spacing w:line="360" w:lineRule="auto"/>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根据研究生教育管理的需要，成立了以主管研究生思想政治工作的学院党委书记为组长、分管研究生教育培养的院领导为副组长，研究生专职秘书、研究生思想政治教育专干、研究生就业专干</w:t>
      </w:r>
      <w:r>
        <w:rPr>
          <w:rFonts w:hint="eastAsia" w:ascii="仿宋" w:hAnsi="仿宋" w:eastAsia="仿宋" w:cs="仿宋"/>
          <w:b w:val="0"/>
          <w:bCs w:val="0"/>
          <w:sz w:val="28"/>
          <w:szCs w:val="28"/>
          <w:lang w:val="en-US" w:eastAsia="zh-CN"/>
        </w:rPr>
        <w:t>、班主任、</w:t>
      </w:r>
      <w:r>
        <w:rPr>
          <w:rFonts w:hint="eastAsia" w:ascii="仿宋" w:hAnsi="仿宋" w:eastAsia="仿宋" w:cs="仿宋"/>
          <w:sz w:val="28"/>
          <w:szCs w:val="28"/>
          <w:lang w:val="en-US" w:eastAsia="zh-CN"/>
        </w:rPr>
        <w:t>研究生导师代表为成员的院研究生思想政治教育工作小组；组建了学院研究生分会、班委会、团支部和党支部，完善了研究生思想政治教育队伍建设。</w:t>
      </w:r>
    </w:p>
    <w:bookmarkEnd w:id="13"/>
    <w:p>
      <w:pPr>
        <w:pStyle w:val="4"/>
        <w:snapToGrid w:val="0"/>
        <w:spacing w:before="0" w:after="0" w:line="360" w:lineRule="auto"/>
        <w:ind w:firstLine="662" w:firstLineChars="200"/>
        <w:rPr>
          <w:rFonts w:hint="eastAsia" w:ascii="仿宋" w:hAnsi="仿宋" w:eastAsia="仿宋" w:cs="Times New Roman"/>
          <w:w w:val="110"/>
          <w:sz w:val="30"/>
          <w:szCs w:val="30"/>
        </w:rPr>
      </w:pPr>
      <w:bookmarkStart w:id="14" w:name="_Toc92275539"/>
      <w:bookmarkStart w:id="15" w:name="_Hlk92202012"/>
      <w:r>
        <w:rPr>
          <w:rFonts w:hint="eastAsia" w:ascii="仿宋" w:hAnsi="仿宋" w:eastAsia="仿宋" w:cs="Times New Roman"/>
          <w:w w:val="110"/>
          <w:sz w:val="30"/>
          <w:szCs w:val="30"/>
        </w:rPr>
        <w:t>2. 理想信念和社会主义核心价值观教育</w:t>
      </w:r>
      <w:bookmarkEnd w:id="14"/>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在研究生入学初即开展了研究生入学教育，对师生的理想信念和社会主义核心价值观教育等进行教育，通过深入推进师德师风建设，广大教师坚持立德树人，坚持以“四有好老师”严格要求自己，师德师风建设成效显著。为真正做到让2023级研究生新生“稳心、暖心、贴心”，学位点领导和班主任与2023级研究生新生一起欢度中秋佳节，同时邀请已考上博士研究生的廖凯诚、周宇、王璋等毕业生与之开展学习经验交流。</w:t>
      </w:r>
    </w:p>
    <w:bookmarkEnd w:id="15"/>
    <w:p>
      <w:pPr>
        <w:snapToGrid w:val="0"/>
        <w:spacing w:line="360" w:lineRule="auto"/>
        <w:ind w:firstLine="560" w:firstLineChars="200"/>
        <w:rPr>
          <w:rFonts w:ascii="仿宋" w:hAnsi="仿宋" w:eastAsia="仿宋"/>
          <w:color w:val="0000FF"/>
          <w:spacing w:val="-7"/>
          <w:w w:val="110"/>
          <w:sz w:val="28"/>
          <w:szCs w:val="28"/>
        </w:rPr>
      </w:pPr>
      <w:bookmarkStart w:id="16" w:name="_Hlk92202057"/>
      <w:r>
        <w:rPr>
          <w:rFonts w:hint="eastAsia" w:ascii="仿宋" w:hAnsi="仿宋" w:eastAsia="仿宋" w:cs="仿宋"/>
          <w:sz w:val="28"/>
          <w:szCs w:val="28"/>
          <w:lang w:val="en-US" w:eastAsia="zh-CN"/>
        </w:rPr>
        <w:t>服务西部、服务基层的教育教学理念更加坚定。广大教师牢固树立了中国特色社会主义理想信念，扎根湖南西部和民族地区，甘于奉献，为湘西教育事业和经济社会发展服务。本年度教师团队与中山大学管理学院联合申报的教学成果奖获国家级教学成果二等奖；发表与西部和民族地区相关论文20余篇；受邀参加国家乡村振兴局委托的2022年中央专项彩票公益金支持欠发达革命老区乡村振兴示范区建设情况评估工作；教师团队赴云南、广西、海南三省开展实地评估，在规定时间内高质量完成了评估和报告撰写任务；受邀承担中共湘西自治州委宣传部和湘西自治州哲学社会科学成果评审委员会联合委托的《十八洞村新时代红色地标打造》重大委托课题，研究成果入选《决策参考：湖南省情要报》；与湘西长行村镇银行联合召开校企合作助力乡村振兴工作洽谈会，就共同助力乡村振兴议题进行了深入交流探讨，并共同谋划了下一阶段校企合作项目形式和内容；承接了益阳安化县工会干部培训班、湖南高骼乳业有限公司管理人员和下属门店从业人员研学班、湘西长行村镇银行中高层管理人员研修班等培训工作；受邀承担湘西自治州《“十四五”规划纲要》中期评估工作；受邀承担2023年湘西自治州旅游抽样调查工作。用实际行动践行服务西部、服务基层的教育教学理念。</w:t>
      </w:r>
    </w:p>
    <w:bookmarkEnd w:id="16"/>
    <w:p>
      <w:pPr>
        <w:pStyle w:val="4"/>
        <w:snapToGrid w:val="0"/>
        <w:spacing w:before="0" w:after="0" w:line="360" w:lineRule="auto"/>
        <w:ind w:firstLine="662" w:firstLineChars="200"/>
        <w:rPr>
          <w:rFonts w:hint="eastAsia" w:ascii="仿宋" w:hAnsi="仿宋" w:eastAsia="仿宋" w:cs="Times New Roman"/>
          <w:w w:val="110"/>
          <w:sz w:val="30"/>
          <w:szCs w:val="30"/>
        </w:rPr>
      </w:pPr>
      <w:bookmarkStart w:id="17" w:name="_Toc92275540"/>
      <w:bookmarkStart w:id="18" w:name="_Hlk92202064"/>
      <w:r>
        <w:rPr>
          <w:rFonts w:hint="eastAsia" w:ascii="仿宋" w:hAnsi="仿宋" w:eastAsia="仿宋" w:cs="Times New Roman"/>
          <w:w w:val="110"/>
          <w:sz w:val="30"/>
          <w:szCs w:val="30"/>
        </w:rPr>
        <w:t>3. 学位点文化建设情况</w:t>
      </w:r>
      <w:bookmarkEnd w:id="17"/>
    </w:p>
    <w:bookmarkEnd w:id="18"/>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本年度全面落实立德树人根本任务，将立德树人具化为培养学生经世济民情怀，着力构建一体化育人体系，形成思政教育大格局。 </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 </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打造“三个文化”，推进社会实践开展。打造“弘扬红色文化”实践活动，依托“灯塔学子”志愿服务、“青年红色筑梦之旅”活动，开展红色实践，传承红色基因。实施“传承传统文化”实践活动，依托五四歌咏比赛、武陵风情风俗走访活动等，传承传统文化。开展“打造职业文化”实践活动，依托“千村大调查”“东西部协作交叉考核评估以及贵州江口、云南双江等案例县脱贫经验总结工作”等，打造职业文化。 </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加强思想引领，让政治建设强起来。在人才引进、导师评聘、职称评定中把师德师风作为首要标准，依托“十八洞村”讲好中国脱贫故事。聚焦组织建设，让作用发挥强起来。落实“党支部+”工作方案，夯实党支部支撑学科发展着力点。聚焦人才建设，让支部书记强起来。把支部书记作为人才储备进行培养，选拔优秀“双带头人”。在学生状态信息管理上实施四级包联制度，让学生状态信息及时、准确反馈到学位点、学院和学校，以便于正确应对各类突发事件。</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19" w:name="_Toc92275541"/>
      <w:bookmarkStart w:id="20" w:name="_Hlk92202121"/>
      <w:r>
        <w:rPr>
          <w:rFonts w:hint="eastAsia" w:ascii="仿宋" w:hAnsi="仿宋" w:eastAsia="仿宋" w:cs="Times New Roman"/>
          <w:w w:val="110"/>
          <w:sz w:val="30"/>
          <w:szCs w:val="30"/>
        </w:rPr>
        <w:t>4. 学位点日常管理、服务工作情况</w:t>
      </w:r>
      <w:bookmarkEnd w:id="19"/>
      <w:bookmarkEnd w:id="20"/>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积极组织研究生开展各种主题活动，本年度共组织或参加元旦晚会、毕业晚会、湖南省第十届高校研究生英语翻译大赛、英语演讲大赛、研究生辩论赛、“南岳衡山杯”乡村振兴与文旅融合研究生创新论坛、第十五届“挑战杯”湖南省大学生课外学术科技作品竞赛、“正大杯”第十三届全国大学生市场调查与分析大赛、第八届全国大学生预防艾滋病知识竞赛、第三届全国学生科学素质知识科普活动、第十二届民族旅游论坛、第十一届海峡两岸旅游观光研讨会、湖南省第十六届研究生创新论坛、湖南省管理科学学会2023年年会暨学术研讨会、湖南省技术经济与管理现代化研究会2023年年会暨“创新发展、数字化转型与中国式现代化”研讨会、湖南省西部综合开发研究会2023年年会等丰富校园文化生活、增加专业素养的系列活动，且都有较好的成绩。获各类省级以上奖励10余项（表1）。</w:t>
      </w:r>
    </w:p>
    <w:p>
      <w:pPr>
        <w:pStyle w:val="6"/>
        <w:tabs>
          <w:tab w:val="left" w:pos="8280"/>
        </w:tabs>
        <w:snapToGrid w:val="0"/>
        <w:spacing w:after="0" w:line="360" w:lineRule="auto"/>
        <w:ind w:right="26"/>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表1  2023年研究生省级以上学科竞赛获奖情况统计表（部分）</w:t>
      </w:r>
    </w:p>
    <w:tbl>
      <w:tblPr>
        <w:tblStyle w:val="14"/>
        <w:tblW w:w="8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2919"/>
        <w:gridCol w:w="1400"/>
        <w:gridCol w:w="796"/>
        <w:gridCol w:w="1454"/>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序号</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奖项名称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获奖人姓名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获奖等级</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获奖时间</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第十五届“挑战杯”湖南省大学生课外学术科技作品竞赛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2023.5.12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湖南省团委、教育厅、政协、社科院、省学联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第十三届“正大杯”全国大学生市场调查与分析大赛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“正大杯”十三届全国大学生市场调查与分析大赛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吴保林、张亚婷、单佳美、车钰翎、龚涵涛</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中国商业统计学会、全国大学生市场调查与分析大赛组委会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 xml:space="preserve">“正大杯”第十三届全国大学生市场调查与分析大赛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张亚婷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省级二等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中共商业统计学会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 xml:space="preserve">“正大杯”第十三届全国大学生市场调查与分析大赛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刘恩惠、董磊、刘芸、翟亚琦、彭梦婷</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正大杯第十三届全国大学生市场调查与分析大赛</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刘庚、李欣雨、赵庆洋</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 xml:space="preserve">“正大杯”第十三届全国大学生市场调查与分析大赛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刘恩惠、董磊、刘芸、翟亚琦、彭梦婷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省级三等奖</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 xml:space="preserve">“正大杯”第十三届全国大学生市场调查与分析大赛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吴保林、张亚婷、单佳美、车钰翎、龚涵涛</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省级三等奖</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中国商业统计学会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9</w:t>
            </w:r>
          </w:p>
        </w:tc>
        <w:tc>
          <w:tcPr>
            <w:tcW w:w="29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第三届全国学生科学素质知识科普活动</w:t>
            </w:r>
          </w:p>
        </w:tc>
        <w:tc>
          <w:tcPr>
            <w:tcW w:w="1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董淑鑫</w:t>
            </w:r>
          </w:p>
        </w:tc>
        <w:tc>
          <w:tcPr>
            <w:tcW w:w="7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国家一等</w:t>
            </w:r>
          </w:p>
        </w:tc>
        <w:tc>
          <w:tcPr>
            <w:tcW w:w="14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w:t>
            </w:r>
          </w:p>
        </w:tc>
        <w:tc>
          <w:tcPr>
            <w:tcW w:w="15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全国学生科学素质知识科普活动组委会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10</w:t>
            </w:r>
          </w:p>
        </w:tc>
        <w:tc>
          <w:tcPr>
            <w:tcW w:w="2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第八届全国大学生预防艾滋病知识竞赛</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董淑鑫</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优秀奖</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中国预防性病艾滋病基金会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11</w:t>
            </w:r>
          </w:p>
        </w:tc>
        <w:tc>
          <w:tcPr>
            <w:tcW w:w="2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湖南省第十六届研究生创新论坛优秀论文</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王妍</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2023.11.18</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湖南省教育厅</w:t>
            </w:r>
          </w:p>
        </w:tc>
      </w:tr>
    </w:tbl>
    <w:p>
      <w:pPr>
        <w:pStyle w:val="6"/>
        <w:tabs>
          <w:tab w:val="left" w:pos="8280"/>
        </w:tabs>
        <w:snapToGrid w:val="0"/>
        <w:spacing w:after="0" w:line="360" w:lineRule="auto"/>
        <w:ind w:right="26" w:firstLine="588" w:firstLineChars="200"/>
        <w:rPr>
          <w:rFonts w:ascii="仿宋" w:hAnsi="仿宋" w:eastAsia="仿宋"/>
          <w:spacing w:val="-7"/>
          <w:w w:val="110"/>
          <w:sz w:val="28"/>
          <w:szCs w:val="28"/>
        </w:rPr>
      </w:pPr>
    </w:p>
    <w:p>
      <w:pPr>
        <w:pStyle w:val="3"/>
        <w:snapToGrid w:val="0"/>
        <w:spacing w:before="0" w:after="0" w:line="360" w:lineRule="auto"/>
        <w:rPr>
          <w:rFonts w:ascii="黑体" w:hAnsi="黑体" w:eastAsia="黑体"/>
          <w:b w:val="0"/>
          <w:bCs w:val="0"/>
        </w:rPr>
      </w:pPr>
      <w:bookmarkStart w:id="21" w:name="_Toc92275542"/>
      <w:r>
        <w:rPr>
          <w:rFonts w:hint="eastAsia" w:ascii="黑体" w:hAnsi="黑体" w:eastAsia="黑体"/>
          <w:b w:val="0"/>
          <w:bCs w:val="0"/>
        </w:rPr>
        <w:t>三、研究生培养相关制度及执行情况</w:t>
      </w:r>
      <w:bookmarkEnd w:id="21"/>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22" w:name="_Toc92275543"/>
      <w:bookmarkStart w:id="23" w:name="_Hlk92202224"/>
      <w:r>
        <w:rPr>
          <w:rFonts w:hint="eastAsia" w:ascii="仿宋" w:hAnsi="仿宋" w:eastAsia="仿宋" w:cs="Times New Roman"/>
          <w:w w:val="110"/>
          <w:sz w:val="30"/>
          <w:szCs w:val="30"/>
        </w:rPr>
        <w:t>1. 课程建设与实施情况</w:t>
      </w:r>
      <w:bookmarkEnd w:id="22"/>
    </w:p>
    <w:bookmarkEnd w:id="23"/>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立德树人为根本，面向中西部地区企事业单位人才需要，坚持内涵式发展，推动思想政治教育、创新创业教育与专业教育深度融合，将“新商科”与“新文科”人才理念全方位深层次融入工商管理人才培养全过程，培养知国情、有道德、善管理、敢创业的工商管理高级专门人才。对照“新商科”和思政教育要求，构建多学科交叉的课程框架体系，建成“大数据素养”“特色资源开发管理”“减贫与发展”课程群。同时开发本土课程资源，打造一流课程教学内容。</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聚焦贫困地区工商管理学生学科知识、职业素质培养，充分开发已出版《贫困地区创业管理案例》《欠发达地区创业》《金字塔底层创业》《中国连片特困区发展报告》《旅游文化学导论》等本土特色教辅教材在研究生教育教学中的应用。</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在方法上深入推进课堂教学改革，实施一流课程教学模式。  推动互联网、大数据等现代技术在课堂教学中的应用，构建“互联网+专业教育”智能课堂教学模式；大力开展课程网站建设，支持任课教师开展在线教学。依托本土课程资源开展案例研讨式教学，推行以能力培养为导向、以问题探究为中心的“教师引导-学生参与”式研究性教学体系。</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把教学质量作为职称评聘首要标准，开展教学型教授、副教授评聘；改革年终绩效分配，把参与教研活动、编写教材案例、指导学生创新创业训练等计入工作量；实施“教学督导+学生”评教制度，并将评价结果与年终绩效分配挂钩。</w:t>
      </w:r>
    </w:p>
    <w:p>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位点更加重视教学案例的研究与开发。成立案例开发与教学中心，重点围绕乡村振兴国家战略需求和校友创业企业高质量发展进行的社会调研和案例开发，并聘请湘西自治州乡村振兴局原局长李卫国为学院案例开发项目顾问。2023年暑假期间，组织了十余支案例调研团队深入湘西自治州各县市开展案例调研，并撰写了高质量的案例调研报告，为后续案例撰写提供了丰富的数据资料。本年度共有省级专业学位研究生优秀教学案例立项2项，校级专业学位研究生优秀教学案例立项1项。</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24" w:name="_Toc92275544"/>
      <w:bookmarkStart w:id="25" w:name="_Hlk92202233"/>
      <w:r>
        <w:rPr>
          <w:rFonts w:hint="eastAsia" w:ascii="仿宋" w:hAnsi="仿宋" w:eastAsia="仿宋" w:cs="Times New Roman"/>
          <w:w w:val="110"/>
          <w:sz w:val="30"/>
          <w:szCs w:val="30"/>
        </w:rPr>
        <w:t>2. 导师选拔与培训情况</w:t>
      </w:r>
      <w:bookmarkEnd w:id="24"/>
      <w:r>
        <w:rPr>
          <w:rFonts w:hint="eastAsia" w:ascii="仿宋" w:hAnsi="仿宋" w:eastAsia="仿宋" w:cs="Times New Roman"/>
          <w:w w:val="110"/>
          <w:sz w:val="30"/>
          <w:szCs w:val="30"/>
        </w:rPr>
        <w:t xml:space="preserve"> </w:t>
      </w:r>
      <w:bookmarkEnd w:id="25"/>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学位点严格按照学院研究生培养的需要，遴选思想政治素质过硬、学术科研能力强、有责任心的博士或高级职称的专家学者成为硕士生导师。经严格规范程序筛选本年度学位点共聘任了校内导师3名，校外实践导师3名，其中教授2名，具有博士学位的6名。</w:t>
      </w:r>
    </w:p>
    <w:p>
      <w:pPr>
        <w:snapToGrid w:val="0"/>
        <w:spacing w:line="360" w:lineRule="auto"/>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学位点按照研究生导师的立德树人职责及三全育人标准对导师展开培训。本年度新增3名校内硕士生导师已培训合格上岗，学位点所有硕士生导师每年均定期参加了学校和学位点组织的各类培训。</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26" w:name="_Toc92275545"/>
      <w:bookmarkStart w:id="27" w:name="_Hlk92202299"/>
      <w:r>
        <w:rPr>
          <w:rFonts w:hint="eastAsia" w:ascii="仿宋" w:hAnsi="仿宋" w:eastAsia="仿宋" w:cs="Times New Roman"/>
          <w:w w:val="110"/>
          <w:sz w:val="30"/>
          <w:szCs w:val="30"/>
        </w:rPr>
        <w:t>3. 师德师风建设情况</w:t>
      </w:r>
      <w:bookmarkEnd w:id="26"/>
      <w:r>
        <w:rPr>
          <w:rFonts w:hint="eastAsia" w:ascii="仿宋" w:hAnsi="仿宋" w:eastAsia="仿宋" w:cs="Times New Roman"/>
          <w:w w:val="110"/>
          <w:sz w:val="30"/>
          <w:szCs w:val="30"/>
        </w:rPr>
        <w:t xml:space="preserve"> </w:t>
      </w:r>
    </w:p>
    <w:bookmarkEnd w:id="27"/>
    <w:p>
      <w:pPr>
        <w:snapToGrid w:val="0"/>
        <w:spacing w:line="360" w:lineRule="auto"/>
        <w:ind w:firstLine="560" w:firstLineChars="200"/>
        <w:rPr>
          <w:rFonts w:hint="eastAsia" w:ascii="仿宋" w:hAnsi="仿宋" w:eastAsia="仿宋" w:cs="仿宋"/>
          <w:sz w:val="28"/>
          <w:szCs w:val="28"/>
          <w:lang w:val="en-US" w:eastAsia="zh-CN"/>
        </w:rPr>
      </w:pPr>
      <w:bookmarkStart w:id="28" w:name="_Toc92275546"/>
      <w:bookmarkStart w:id="29" w:name="_Hlk92202307"/>
      <w:r>
        <w:rPr>
          <w:rFonts w:hint="eastAsia" w:ascii="仿宋" w:hAnsi="仿宋" w:eastAsia="仿宋" w:cs="仿宋"/>
          <w:sz w:val="28"/>
          <w:szCs w:val="28"/>
          <w:lang w:val="en-US" w:eastAsia="zh-CN"/>
        </w:rPr>
        <w:t>开展导师师德师风专题培训，要求导师对照研究生导师的立德树人职责做出自我评估，整改提高，实施师德师风一票否决制，全面落实师德师风建设相关标准与政策要求。开展以“加强师德师风建设争做‘四有’好老师”为主题的师德师风集中学习教育，主要内容包括学习师德师风相关规定文件，师德师风警示教育学习，主要是通过观看电影《黄大年》、分教研室进行主题为“加强师德师风建设，争做‘四有’好老师”的交流研讨。同时，学院党委还组织全体教师党员开展以“牢记立德树人使命，做铸魂育人践行者”为主题的学习研讨活动。</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合导师师德师风建设要求，学位点认真开展了导师2023年度考核，明确了科研、教学和素养等各方面的综合要求，并将考核结果应用于导师的招生资格审查。对于违反导师行为准则、考核周期内所指导学生出现学术造假或不端行为者，取消硕士研究生导师招生资格。 </w:t>
      </w:r>
    </w:p>
    <w:p>
      <w:pPr>
        <w:pStyle w:val="4"/>
        <w:snapToGrid w:val="0"/>
        <w:spacing w:before="0" w:after="0" w:line="360" w:lineRule="auto"/>
        <w:ind w:firstLine="662" w:firstLineChars="200"/>
        <w:rPr>
          <w:rFonts w:hint="eastAsia" w:ascii="仿宋" w:hAnsi="仿宋" w:eastAsia="仿宋" w:cs="Times New Roman"/>
          <w:w w:val="110"/>
          <w:sz w:val="30"/>
          <w:szCs w:val="30"/>
        </w:rPr>
      </w:pPr>
      <w:r>
        <w:rPr>
          <w:rFonts w:hint="eastAsia" w:ascii="仿宋" w:hAnsi="仿宋" w:eastAsia="仿宋" w:cs="Times New Roman"/>
          <w:w w:val="110"/>
          <w:sz w:val="30"/>
          <w:szCs w:val="30"/>
        </w:rPr>
        <w:t>4. 学术训练情况</w:t>
      </w:r>
      <w:bookmarkEnd w:id="28"/>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利用周末的时间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具体内容在微信公众号“研经商思”——风雨湖大讲堂内详细报导。</w:t>
      </w:r>
    </w:p>
    <w:p>
      <w:pPr>
        <w:snapToGrid w:val="0"/>
        <w:spacing w:line="360" w:lineRule="auto"/>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学位点还利用研究生培养环节的关键节点举办以研究生主讲的研究生沙龙“齐鲁研论”，如开题之前，以研究生的开题方向内容做主讲报告，学位论文预答辩之前以研究生的毕业论文内容做主讲报告，进行学位论文答辩的模拟演练。每场沙龙至少有2-3名具有博士学位或在读博士教师到场与主讲学生的导师一起参与点评，研究生们踊跃发言，其他老师点评或补充，具体内容通过“研经商思”微信公众号详细报导。</w:t>
      </w:r>
    </w:p>
    <w:bookmarkEnd w:id="29"/>
    <w:p>
      <w:pPr>
        <w:pStyle w:val="4"/>
        <w:snapToGrid w:val="0"/>
        <w:spacing w:before="0" w:after="0" w:line="360" w:lineRule="auto"/>
        <w:ind w:firstLine="662" w:firstLineChars="200"/>
        <w:rPr>
          <w:rFonts w:hint="eastAsia" w:ascii="仿宋" w:hAnsi="仿宋" w:eastAsia="仿宋" w:cs="Times New Roman"/>
          <w:w w:val="110"/>
          <w:sz w:val="30"/>
          <w:szCs w:val="30"/>
        </w:rPr>
      </w:pPr>
      <w:bookmarkStart w:id="30" w:name="_Toc92275547"/>
      <w:bookmarkStart w:id="31" w:name="_Hlk92202332"/>
      <w:r>
        <w:rPr>
          <w:rFonts w:hint="eastAsia" w:ascii="仿宋" w:hAnsi="仿宋" w:eastAsia="仿宋" w:cs="Times New Roman"/>
          <w:w w:val="110"/>
          <w:sz w:val="30"/>
          <w:szCs w:val="30"/>
        </w:rPr>
        <w:t>5. 学术交流情况</w:t>
      </w:r>
      <w:bookmarkEnd w:id="30"/>
    </w:p>
    <w:bookmarkEnd w:id="31"/>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积极开展学术报告，定期举办学术讲座，组织研究生参加省、地（市）经济学和管理学学术年会活动。学位点相关研究所和研究基地也吸纳研究生一起开展科研和学术交流活动，为研究生创造了较多的学术交流渠道。</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学位点不仅从中山大学、中央财经大学、中国农业大学、中国社会科学院等单位聘请了大量专家来校讲学，同时定期组织学位点在读研究生与优秀毕业研究生进行学术交流，以保证优秀学术研究方法与氛围的传承。本年度共邀请学位点毕业研究生现同济大学博士研究生廖凯诚、天津财经大学博士研究生张晓丹、江西财经大学博士研究生赵阳等优秀学生与在校学生交流学术研究心得10余次。</w:t>
      </w:r>
    </w:p>
    <w:p>
      <w:pPr>
        <w:snapToGrid w:val="0"/>
        <w:spacing w:line="360" w:lineRule="auto"/>
        <w:ind w:firstLine="560" w:firstLineChars="200"/>
        <w:rPr>
          <w:rFonts w:hint="eastAsia" w:ascii="仿宋" w:hAnsi="仿宋" w:eastAsia="仿宋" w:cs="Times New Roman"/>
          <w:spacing w:val="-7"/>
          <w:w w:val="110"/>
          <w:sz w:val="28"/>
          <w:szCs w:val="28"/>
        </w:rPr>
      </w:pPr>
      <w:r>
        <w:rPr>
          <w:rFonts w:hint="eastAsia" w:ascii="仿宋" w:hAnsi="仿宋" w:eastAsia="仿宋" w:cs="仿宋"/>
          <w:sz w:val="28"/>
          <w:szCs w:val="28"/>
          <w:lang w:val="en-US" w:eastAsia="zh-CN"/>
        </w:rPr>
        <w:t>本年度共举办、承办、参加了</w:t>
      </w:r>
      <w:r>
        <w:rPr>
          <w:rFonts w:hint="eastAsia" w:ascii="仿宋" w:hAnsi="仿宋" w:eastAsia="仿宋" w:cs="仿宋"/>
          <w:sz w:val="28"/>
          <w:szCs w:val="28"/>
        </w:rPr>
        <w:t>亚洲可持续发展和乡村振兴中日联合在线研讨会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湖南省第十六届研究生创新论坛、第十二届民族旅游论坛、湖南省技术经济与管理现代化研究会2023年年会、第十一届海峡两岸观光研讨会、湖南省西部综合开发研究会2023年年会、“南岳衡山杯”乡村振兴与文旅融合研究生创新论坛、湖南省管理科学学会2023年度学术年会等10余项国际、国内学术会议。并在会议上做了《乡村旅游赋能“三治融合”乡村治理作用机制研究-基于城乡等值化理论》、《高质量发展视域下武陵山片区5A级景区“四感”旅游形象感知研究》、《空间经济视角下乡村旅游驱动乡村振兴的机制与模式》、《湖南县域旅游经济网络结构演化与空间发展模式研究》、《乡村振兴背景下张家界乡村民宿高质量发展研究》、《中国世界遗产旅游效应的时空分异研究》、《乡村生态旅游游客动机与游客满意度研究》、《时空压缩条件下区域旅游合作政府群体间行为决策演化博弈研究》、《政商关系亲清化能否抑制管理者短视行为——亲清政商关系对股价崩盘风险的影响研究》、《乡村创业生态系统的价值共创机理研究》、《被限制的虚拟旅游心流体验如何提升游客忠诚——一个有调节的链式中介模型》等主题报告13场。共获学会优秀论文奖项10余项（表2）。</w:t>
      </w:r>
    </w:p>
    <w:p>
      <w:pPr>
        <w:pStyle w:val="6"/>
        <w:tabs>
          <w:tab w:val="left" w:pos="8280"/>
        </w:tabs>
        <w:snapToGrid w:val="0"/>
        <w:spacing w:after="0" w:line="360" w:lineRule="auto"/>
        <w:ind w:right="26"/>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表2 2023年学会论文获奖统计表（部分）</w:t>
      </w:r>
    </w:p>
    <w:tbl>
      <w:tblPr>
        <w:tblStyle w:val="14"/>
        <w:tblW w:w="49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520"/>
        <w:gridCol w:w="908"/>
        <w:gridCol w:w="950"/>
        <w:gridCol w:w="1400"/>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jc w:val="center"/>
        </w:trPr>
        <w:tc>
          <w:tcPr>
            <w:tcW w:w="333"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序号</w:t>
            </w:r>
          </w:p>
        </w:tc>
        <w:tc>
          <w:tcPr>
            <w:tcW w:w="1505"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奖项名称</w:t>
            </w:r>
          </w:p>
        </w:tc>
        <w:tc>
          <w:tcPr>
            <w:tcW w:w="542"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获奖人姓名</w:t>
            </w:r>
          </w:p>
        </w:tc>
        <w:tc>
          <w:tcPr>
            <w:tcW w:w="567"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获奖等级</w:t>
            </w:r>
          </w:p>
        </w:tc>
        <w:tc>
          <w:tcPr>
            <w:tcW w:w="836"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获奖时间</w:t>
            </w:r>
          </w:p>
        </w:tc>
        <w:tc>
          <w:tcPr>
            <w:tcW w:w="1214"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主办单位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第十二届民族旅游论坛优秀论文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刘若彬、徐磊</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2023.11.20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民族旅游论坛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湖南省技术经济与管理现代化研究会2023年年会优秀论文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徐磊、刘若彬</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2023.12.9</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湖南省技术经理与管理现代化研究会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3</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第十二届民族旅游论坛优秀论文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刘若彬、徐磊</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2023.11.20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民族旅游论坛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4</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湖南省管理科学学会2023年年会优秀论文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徐磊、汤瑞</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2023.12.15</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湖南省管理科学学会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333"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5</w:t>
            </w:r>
          </w:p>
        </w:tc>
        <w:tc>
          <w:tcPr>
            <w:tcW w:w="1505"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第十一届海峡两岸观光研讨会优秀论文</w:t>
            </w:r>
          </w:p>
        </w:tc>
        <w:tc>
          <w:tcPr>
            <w:tcW w:w="542" w:type="pc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李威龙，薛璇璇</w:t>
            </w:r>
          </w:p>
        </w:tc>
        <w:tc>
          <w:tcPr>
            <w:tcW w:w="567" w:type="pc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2023.8.31</w:t>
            </w:r>
          </w:p>
        </w:tc>
        <w:tc>
          <w:tcPr>
            <w:tcW w:w="121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海峡两岸旅游观光研讨会组委会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jc w:val="center"/>
        </w:trPr>
        <w:tc>
          <w:tcPr>
            <w:tcW w:w="33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6</w:t>
            </w:r>
          </w:p>
        </w:tc>
        <w:tc>
          <w:tcPr>
            <w:tcW w:w="150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第十二届民族旅游论坛优秀论文</w:t>
            </w: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王妍</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三等奖</w:t>
            </w:r>
          </w:p>
        </w:tc>
        <w:tc>
          <w:tcPr>
            <w:tcW w:w="8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2023.11.19</w:t>
            </w:r>
          </w:p>
        </w:tc>
        <w:tc>
          <w:tcPr>
            <w:tcW w:w="121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民族旅游论坛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33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7</w:t>
            </w:r>
          </w:p>
        </w:tc>
        <w:tc>
          <w:tcPr>
            <w:tcW w:w="150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湖南省技术经济与管理现代化研究会2023年年会优秀论文</w:t>
            </w: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薛璇璇、李威龙</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2023.12.10</w:t>
            </w:r>
          </w:p>
        </w:tc>
        <w:tc>
          <w:tcPr>
            <w:tcW w:w="121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湖南省技术经济与管理现代化年会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33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8</w:t>
            </w:r>
          </w:p>
        </w:tc>
        <w:tc>
          <w:tcPr>
            <w:tcW w:w="150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湖南省西部综合开发研究会2023年优秀论文</w:t>
            </w: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薛璇璇、李威龙</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一等奖</w:t>
            </w:r>
          </w:p>
        </w:tc>
        <w:tc>
          <w:tcPr>
            <w:tcW w:w="8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2023.11.15</w:t>
            </w:r>
          </w:p>
        </w:tc>
        <w:tc>
          <w:tcPr>
            <w:tcW w:w="121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33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9</w:t>
            </w:r>
          </w:p>
        </w:tc>
        <w:tc>
          <w:tcPr>
            <w:tcW w:w="15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2023年第十一届海峡两岸旅游观光研讨会论文</w:t>
            </w: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赵培培、谈群、刘艺璇</w:t>
            </w:r>
          </w:p>
        </w:tc>
        <w:tc>
          <w:tcPr>
            <w:tcW w:w="5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三等奖</w:t>
            </w:r>
          </w:p>
        </w:tc>
        <w:tc>
          <w:tcPr>
            <w:tcW w:w="8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2023.8.31</w:t>
            </w:r>
          </w:p>
        </w:tc>
        <w:tc>
          <w:tcPr>
            <w:tcW w:w="121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海峡两岸旅游观光研讨会组委会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33" w:type="pct"/>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10</w:t>
            </w:r>
          </w:p>
        </w:tc>
        <w:tc>
          <w:tcPr>
            <w:tcW w:w="1505"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“南岳衡山杯”乡村振兴与文旅融合研究生创新论坛</w:t>
            </w:r>
          </w:p>
        </w:tc>
        <w:tc>
          <w:tcPr>
            <w:tcW w:w="542"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刘蕾</w:t>
            </w:r>
          </w:p>
        </w:tc>
        <w:tc>
          <w:tcPr>
            <w:tcW w:w="567" w:type="pct"/>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三等奖</w:t>
            </w:r>
          </w:p>
        </w:tc>
        <w:tc>
          <w:tcPr>
            <w:tcW w:w="836"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2023.4.15</w:t>
            </w:r>
          </w:p>
        </w:tc>
        <w:tc>
          <w:tcPr>
            <w:tcW w:w="121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11</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第十一届海峡两岸旅游观光研讨会优秀论文二等奖</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郭玉婷</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2023.8.31</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第十一届海峡两岸旅游观光研讨会组委会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 w:type="pct"/>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12</w:t>
            </w:r>
          </w:p>
        </w:tc>
        <w:tc>
          <w:tcPr>
            <w:tcW w:w="1505"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湖南省管理科学学会2023年度学术年会优秀论文</w:t>
            </w:r>
          </w:p>
        </w:tc>
        <w:tc>
          <w:tcPr>
            <w:tcW w:w="54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张亚婷</w:t>
            </w:r>
          </w:p>
        </w:tc>
        <w:tc>
          <w:tcPr>
            <w:tcW w:w="567"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三等</w:t>
            </w:r>
          </w:p>
        </w:tc>
        <w:tc>
          <w:tcPr>
            <w:tcW w:w="836"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2023.12.5</w:t>
            </w:r>
          </w:p>
        </w:tc>
        <w:tc>
          <w:tcPr>
            <w:tcW w:w="121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湖南省管理科学学会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33" w:type="pct"/>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13</w:t>
            </w:r>
          </w:p>
        </w:tc>
        <w:tc>
          <w:tcPr>
            <w:tcW w:w="1505"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湖南省西部综合开发研究会2023年年会优秀论文</w:t>
            </w:r>
          </w:p>
        </w:tc>
        <w:tc>
          <w:tcPr>
            <w:tcW w:w="54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杜娟、王国涛</w:t>
            </w:r>
          </w:p>
        </w:tc>
        <w:tc>
          <w:tcPr>
            <w:tcW w:w="567"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一等奖</w:t>
            </w:r>
          </w:p>
        </w:tc>
        <w:tc>
          <w:tcPr>
            <w:tcW w:w="836"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2023.11.15</w:t>
            </w:r>
          </w:p>
        </w:tc>
        <w:tc>
          <w:tcPr>
            <w:tcW w:w="121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湖南省社会科学界联合会、湖南省西部综合开发研究会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14</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湖南省西部综合开发研究会2023年年会优秀论文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李欣雨</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2023.11.15</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湖南省社会科学界联合会、湖南省西部综合开发研究会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15</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湖南省西部综合开发研究会2023年年会优秀论文</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刘芸</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二等奖</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2023.11.15</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Times New Roman"/>
                <w:color w:val="auto"/>
                <w:spacing w:val="-7"/>
                <w:w w:val="110"/>
                <w:kern w:val="2"/>
                <w:sz w:val="22"/>
                <w:szCs w:val="22"/>
                <w:lang w:val="en-US" w:eastAsia="zh-CN" w:bidi="ar-SA"/>
              </w:rPr>
            </w:pPr>
            <w:r>
              <w:rPr>
                <w:rFonts w:hint="eastAsia" w:ascii="仿宋" w:hAnsi="仿宋" w:eastAsia="仿宋" w:cs="Times New Roman"/>
                <w:color w:val="auto"/>
                <w:spacing w:val="-7"/>
                <w:w w:val="110"/>
                <w:kern w:val="2"/>
                <w:sz w:val="22"/>
                <w:szCs w:val="22"/>
                <w:lang w:val="en-US" w:eastAsia="zh-CN" w:bidi="ar-SA"/>
              </w:rPr>
              <w:t>湖南省西部综合开发研究会</w:t>
            </w:r>
          </w:p>
        </w:tc>
      </w:tr>
    </w:tbl>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进一步创新宣传方式，通过“研经商思”微信公众号，及时推送学术讲座信息、分享学术研究成果、争鸣学术热点、交流学术研究心得、宣传学术达人。同时，借助学院、武陵山片区扶贫与发展协同创新中心网站平台，定期报道研究生学术沙龙动态，积极营造浓厚的学术氛围。通过一年来的努力，学位点研究生学术研究氛围进一步提升。</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32" w:name="_Hlk92202414"/>
      <w:bookmarkStart w:id="33" w:name="_Toc92275548"/>
      <w:r>
        <w:rPr>
          <w:rFonts w:hint="eastAsia" w:ascii="仿宋" w:hAnsi="仿宋" w:eastAsia="仿宋" w:cs="Times New Roman"/>
          <w:w w:val="110"/>
          <w:sz w:val="30"/>
          <w:szCs w:val="30"/>
        </w:rPr>
        <w:t>6. 研究生奖助情况</w:t>
      </w:r>
      <w:bookmarkEnd w:id="32"/>
      <w:bookmarkEnd w:id="33"/>
    </w:p>
    <w:p>
      <w:pPr>
        <w:snapToGrid w:val="0"/>
        <w:spacing w:line="360" w:lineRule="auto"/>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 xml:space="preserve">本年度共组织了研究生国家奖学金、学业奖学金、国家助学金、研究生三好学生、优秀研究生干部、优秀硕士学位论文、芙蓉学子、校园之星、“金瑞优”奖学金、等各项评奖评优工作。各项评奖评优均做到了公平、公正、公开、按程序、守时间完成。 </w:t>
      </w:r>
    </w:p>
    <w:p>
      <w:pPr>
        <w:pStyle w:val="3"/>
        <w:snapToGrid w:val="0"/>
        <w:spacing w:before="0" w:after="0" w:line="360" w:lineRule="auto"/>
        <w:rPr>
          <w:rFonts w:ascii="黑体" w:hAnsi="黑体" w:eastAsia="黑体"/>
          <w:b w:val="0"/>
          <w:bCs w:val="0"/>
        </w:rPr>
      </w:pPr>
      <w:bookmarkStart w:id="34" w:name="_Toc92275549"/>
      <w:r>
        <w:rPr>
          <w:rFonts w:hint="eastAsia" w:ascii="黑体" w:hAnsi="黑体" w:eastAsia="黑体"/>
          <w:b w:val="0"/>
          <w:bCs w:val="0"/>
        </w:rPr>
        <w:t>四、研究生教育改革情况</w:t>
      </w:r>
      <w:bookmarkEnd w:id="34"/>
    </w:p>
    <w:p>
      <w:pPr>
        <w:pStyle w:val="4"/>
        <w:snapToGrid w:val="0"/>
        <w:spacing w:before="0" w:after="0" w:line="360" w:lineRule="auto"/>
        <w:ind w:firstLine="662" w:firstLineChars="200"/>
        <w:rPr>
          <w:rFonts w:ascii="仿宋" w:hAnsi="仿宋" w:eastAsia="仿宋"/>
          <w:w w:val="110"/>
          <w:sz w:val="30"/>
          <w:szCs w:val="30"/>
        </w:rPr>
      </w:pPr>
      <w:bookmarkStart w:id="35" w:name="_Toc92275550"/>
      <w:bookmarkStart w:id="36" w:name="_Hlk92202473"/>
      <w:r>
        <w:rPr>
          <w:rFonts w:ascii="仿宋" w:hAnsi="仿宋" w:eastAsia="仿宋"/>
          <w:w w:val="110"/>
          <w:sz w:val="30"/>
          <w:szCs w:val="30"/>
        </w:rPr>
        <w:t xml:space="preserve">1. </w:t>
      </w:r>
      <w:r>
        <w:rPr>
          <w:rFonts w:hint="eastAsia" w:ascii="仿宋" w:hAnsi="仿宋" w:eastAsia="仿宋"/>
          <w:w w:val="110"/>
          <w:sz w:val="30"/>
          <w:szCs w:val="30"/>
        </w:rPr>
        <w:t>人才培养情况</w:t>
      </w:r>
      <w:bookmarkEnd w:id="35"/>
    </w:p>
    <w:bookmarkEnd w:id="36"/>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级研究生入学后及时召开了导师和研究生的见面会，落实每个研究生的导师，并推荐了校外导师。强化学术训练平台建设，支持导师之间组建导师组，强化学术研究和人才培养的沟通交流。本年度，学位点积极组织研究生申报各级科研项目及学术论文写作，共新增项目10余项，发表学术论文20篇；获省级以上竞赛奖励10余项，学会学术论文奖励10余项，省级先进个人2项。其中获第十五届“挑战杯”湖南省大学生课外学术科技作品竞赛省级三等奖1项</w:t>
      </w:r>
      <w:bookmarkStart w:id="37" w:name="_Hlk92202494"/>
      <w:r>
        <w:rPr>
          <w:rFonts w:hint="eastAsia" w:ascii="仿宋" w:hAnsi="仿宋" w:eastAsia="仿宋" w:cs="仿宋"/>
          <w:sz w:val="28"/>
          <w:szCs w:val="28"/>
          <w:lang w:val="en-US" w:eastAsia="zh-CN"/>
        </w:rPr>
        <w:t>，</w:t>
      </w:r>
      <w:r>
        <w:rPr>
          <w:rFonts w:hint="eastAsia" w:ascii="仿宋" w:hAnsi="仿宋" w:eastAsia="仿宋" w:cs="仿宋"/>
          <w:sz w:val="28"/>
          <w:szCs w:val="28"/>
        </w:rPr>
        <w:t>“天职杯”第八届湖南省研究生MPAcc企业案例大赛获二等奖1项、三等奖1项</w:t>
      </w:r>
      <w:r>
        <w:rPr>
          <w:rFonts w:hint="eastAsia" w:ascii="仿宋" w:hAnsi="仿宋" w:eastAsia="仿宋" w:cs="仿宋"/>
          <w:sz w:val="28"/>
          <w:szCs w:val="28"/>
          <w:lang w:val="en-US" w:eastAsia="zh-CN"/>
        </w:rPr>
        <w:t>，第十三届“正大杯”全国大学生市场调查与分析大赛省级二等奖1项、三等奖6项，湖南省研究生创新论坛优秀论文二等奖1项，湖南省优秀毕业生1名，湖南省创新创业优秀毕业生1名，湖南省优秀硕士学位论文1篇。</w:t>
      </w:r>
    </w:p>
    <w:bookmarkEnd w:id="37"/>
    <w:p>
      <w:pPr>
        <w:pStyle w:val="4"/>
        <w:snapToGrid w:val="0"/>
        <w:spacing w:before="0" w:after="0" w:line="360" w:lineRule="auto"/>
        <w:ind w:firstLine="662" w:firstLineChars="200"/>
        <w:rPr>
          <w:rFonts w:hint="eastAsia" w:ascii="仿宋" w:hAnsi="仿宋" w:eastAsia="仿宋" w:cs="Times New Roman"/>
          <w:w w:val="110"/>
          <w:sz w:val="30"/>
          <w:szCs w:val="30"/>
        </w:rPr>
      </w:pPr>
      <w:bookmarkStart w:id="38" w:name="_Hlk92202529"/>
      <w:bookmarkStart w:id="39" w:name="_Toc92275551"/>
      <w:r>
        <w:rPr>
          <w:rFonts w:hint="eastAsia" w:ascii="仿宋" w:hAnsi="仿宋" w:eastAsia="仿宋" w:cs="Times New Roman"/>
          <w:w w:val="110"/>
          <w:sz w:val="30"/>
          <w:szCs w:val="30"/>
        </w:rPr>
        <w:t>2. 教师队伍建设情况</w:t>
      </w:r>
      <w:bookmarkEnd w:id="38"/>
      <w:bookmarkEnd w:id="39"/>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学位点严格按照学院研究生培养的需要，遴选思想政治素质过硬、学术科研能力强、有责任心的博士或高级职称的专家学者成为硕士生导师。经严格规范程序筛选，本年度学位点新聘任了校内导师3名，校外实践导师3名，其中教授4名，具有博士学位的6名。目前已有导师25名，专任教师40名，分布于</w:t>
      </w:r>
      <w:r>
        <w:rPr>
          <w:rFonts w:hint="eastAsia" w:ascii="仿宋" w:hAnsi="仿宋" w:eastAsia="仿宋" w:cs="仿宋"/>
          <w:sz w:val="28"/>
          <w:szCs w:val="28"/>
        </w:rPr>
        <w:t>旅游管理</w:t>
      </w:r>
      <w:r>
        <w:rPr>
          <w:rFonts w:hint="eastAsia" w:ascii="仿宋" w:hAnsi="仿宋" w:eastAsia="仿宋" w:cs="仿宋"/>
          <w:sz w:val="28"/>
          <w:szCs w:val="28"/>
          <w:lang w:eastAsia="zh-CN"/>
        </w:rPr>
        <w:t>、</w:t>
      </w:r>
      <w:r>
        <w:rPr>
          <w:rFonts w:hint="eastAsia" w:ascii="仿宋" w:hAnsi="仿宋" w:eastAsia="仿宋" w:cs="仿宋"/>
          <w:sz w:val="28"/>
          <w:szCs w:val="28"/>
        </w:rPr>
        <w:t>企业管理</w:t>
      </w:r>
      <w:r>
        <w:rPr>
          <w:rFonts w:hint="eastAsia" w:ascii="仿宋" w:hAnsi="仿宋" w:eastAsia="仿宋" w:cs="仿宋"/>
          <w:sz w:val="28"/>
          <w:szCs w:val="28"/>
          <w:lang w:eastAsia="zh-CN"/>
        </w:rPr>
        <w:t>、</w:t>
      </w:r>
      <w:r>
        <w:rPr>
          <w:rFonts w:hint="eastAsia" w:ascii="仿宋" w:hAnsi="仿宋" w:eastAsia="仿宋" w:cs="仿宋"/>
          <w:sz w:val="28"/>
          <w:szCs w:val="28"/>
        </w:rPr>
        <w:t>技术经济管理</w:t>
      </w:r>
      <w:r>
        <w:rPr>
          <w:rFonts w:hint="eastAsia" w:ascii="仿宋" w:hAnsi="仿宋" w:eastAsia="仿宋" w:cs="仿宋"/>
          <w:sz w:val="28"/>
          <w:szCs w:val="28"/>
          <w:lang w:val="en-US" w:eastAsia="zh-CN"/>
        </w:rPr>
        <w:t>及</w:t>
      </w:r>
      <w:r>
        <w:rPr>
          <w:rFonts w:hint="eastAsia" w:ascii="仿宋" w:hAnsi="仿宋" w:eastAsia="仿宋" w:cs="仿宋"/>
          <w:sz w:val="28"/>
          <w:szCs w:val="28"/>
        </w:rPr>
        <w:t>会计</w:t>
      </w:r>
      <w:r>
        <w:rPr>
          <w:rFonts w:hint="eastAsia" w:ascii="仿宋" w:hAnsi="仿宋" w:eastAsia="仿宋" w:cs="仿宋"/>
          <w:sz w:val="28"/>
          <w:szCs w:val="28"/>
          <w:lang w:val="en-US" w:eastAsia="zh-CN"/>
        </w:rPr>
        <w:t>学4个专业方向。</w:t>
      </w:r>
    </w:p>
    <w:p>
      <w:pPr>
        <w:snapToGrid w:val="0"/>
        <w:spacing w:line="360" w:lineRule="auto"/>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同时，学位点坚持已有导师的培养与培训，共举办了以“正师德师风”及“提高导师业务水平”等为主题的导师培训活动多场。所有新聘导师均实现了培训上岗，老导师被聘湖南省普通高校本科教育指导委员会委员2人，获评湖南省高校黄大年式教学团队1个；专任教师中有两位受国家留学基金委公派留学项目资助分别赴日本亚洲成长研究所和日本九州大学从事博士后研究。</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40" w:name="_Toc92275552"/>
      <w:bookmarkStart w:id="41" w:name="_Hlk92202707"/>
      <w:r>
        <w:rPr>
          <w:rFonts w:hint="eastAsia" w:ascii="仿宋" w:hAnsi="仿宋" w:eastAsia="仿宋" w:cs="Times New Roman"/>
          <w:w w:val="110"/>
          <w:sz w:val="30"/>
          <w:szCs w:val="30"/>
        </w:rPr>
        <w:t>3. 科学研究情况</w:t>
      </w:r>
      <w:bookmarkEnd w:id="40"/>
    </w:p>
    <w:bookmarkEnd w:id="41"/>
    <w:p>
      <w:pPr>
        <w:snapToGrid w:val="0"/>
        <w:spacing w:line="360" w:lineRule="auto"/>
        <w:ind w:firstLine="588" w:firstLineChars="200"/>
        <w:rPr>
          <w:rFonts w:hint="eastAsia" w:ascii="仿宋" w:hAnsi="仿宋" w:eastAsia="仿宋"/>
          <w:spacing w:val="-7"/>
          <w:w w:val="110"/>
          <w:sz w:val="28"/>
          <w:szCs w:val="28"/>
        </w:rPr>
      </w:pPr>
      <w:bookmarkStart w:id="42" w:name="_Toc92275553"/>
      <w:bookmarkStart w:id="43" w:name="_Hlk92202834"/>
      <w:r>
        <w:rPr>
          <w:rFonts w:hint="eastAsia" w:ascii="仿宋" w:hAnsi="仿宋" w:eastAsia="仿宋"/>
          <w:spacing w:val="-7"/>
          <w:w w:val="110"/>
          <w:sz w:val="28"/>
          <w:szCs w:val="28"/>
        </w:rPr>
        <w:t>学位点本年度</w:t>
      </w:r>
      <w:r>
        <w:rPr>
          <w:rFonts w:hint="eastAsia" w:ascii="仿宋" w:hAnsi="仿宋" w:eastAsia="仿宋" w:cs="仿宋"/>
          <w:sz w:val="28"/>
          <w:szCs w:val="28"/>
        </w:rPr>
        <w:t>教师全年在SSCI、CSSCI、SCI等权威核心期刊发表学术论文</w:t>
      </w:r>
      <w:r>
        <w:rPr>
          <w:rFonts w:hint="eastAsia" w:ascii="仿宋" w:hAnsi="仿宋" w:eastAsia="仿宋" w:cs="仿宋"/>
          <w:sz w:val="28"/>
          <w:szCs w:val="28"/>
          <w:lang w:val="en-US" w:eastAsia="zh-CN"/>
        </w:rPr>
        <w:t>10余</w:t>
      </w:r>
      <w:r>
        <w:rPr>
          <w:rFonts w:hint="eastAsia" w:ascii="仿宋" w:hAnsi="仿宋" w:eastAsia="仿宋" w:cs="仿宋"/>
          <w:sz w:val="28"/>
          <w:szCs w:val="28"/>
        </w:rPr>
        <w:t>篇；年度新增国家社科基金项目立项1项，</w:t>
      </w:r>
      <w:r>
        <w:rPr>
          <w:rFonts w:hint="eastAsia" w:ascii="仿宋" w:hAnsi="仿宋" w:eastAsia="仿宋"/>
          <w:spacing w:val="-7"/>
          <w:w w:val="110"/>
          <w:sz w:val="28"/>
          <w:szCs w:val="28"/>
        </w:rPr>
        <w:t>新增省部级以上纵向项目立项5项。学位点导师获湖南省研究生教改课题1项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湖南省研究生优秀教学案例2个</w:t>
      </w:r>
      <w:r>
        <w:rPr>
          <w:rFonts w:hint="eastAsia" w:ascii="仿宋" w:hAnsi="仿宋" w:eastAsia="仿宋"/>
          <w:spacing w:val="-7"/>
          <w:w w:val="110"/>
          <w:sz w:val="28"/>
          <w:szCs w:val="28"/>
        </w:rPr>
        <w:t>。教师团队获吉首大学</w:t>
      </w:r>
      <w:r>
        <w:rPr>
          <w:rFonts w:hint="eastAsia" w:ascii="仿宋" w:hAnsi="仿宋" w:eastAsia="仿宋"/>
          <w:spacing w:val="-7"/>
          <w:w w:val="110"/>
          <w:sz w:val="28"/>
          <w:szCs w:val="28"/>
          <w:lang w:val="en-US" w:eastAsia="zh-CN"/>
        </w:rPr>
        <w:t>研究生教育</w:t>
      </w:r>
      <w:r>
        <w:rPr>
          <w:rFonts w:hint="eastAsia" w:ascii="仿宋" w:hAnsi="仿宋" w:eastAsia="仿宋"/>
          <w:spacing w:val="-7"/>
          <w:w w:val="110"/>
          <w:sz w:val="28"/>
          <w:szCs w:val="28"/>
        </w:rPr>
        <w:t>教学成果</w:t>
      </w:r>
      <w:r>
        <w:rPr>
          <w:rFonts w:hint="eastAsia" w:ascii="仿宋" w:hAnsi="仿宋" w:eastAsia="仿宋"/>
          <w:spacing w:val="-7"/>
          <w:w w:val="110"/>
          <w:sz w:val="28"/>
          <w:szCs w:val="28"/>
          <w:lang w:val="en-US" w:eastAsia="zh-CN"/>
        </w:rPr>
        <w:t>一</w:t>
      </w:r>
      <w:r>
        <w:rPr>
          <w:rFonts w:hint="eastAsia" w:ascii="仿宋" w:hAnsi="仿宋" w:eastAsia="仿宋"/>
          <w:spacing w:val="-7"/>
          <w:w w:val="110"/>
          <w:sz w:val="28"/>
          <w:szCs w:val="28"/>
        </w:rPr>
        <w:t>等奖1项；与中山大学管理学院联合申报的教学成果奖获国家级教学成果奖</w:t>
      </w:r>
      <w:r>
        <w:rPr>
          <w:rFonts w:hint="eastAsia" w:ascii="仿宋" w:hAnsi="仿宋" w:eastAsia="仿宋"/>
          <w:spacing w:val="-7"/>
          <w:w w:val="110"/>
          <w:sz w:val="28"/>
          <w:szCs w:val="28"/>
          <w:lang w:val="en-US" w:eastAsia="zh-CN"/>
        </w:rPr>
        <w:t>二等奖；</w:t>
      </w:r>
      <w:r>
        <w:rPr>
          <w:rFonts w:hint="eastAsia" w:ascii="仿宋" w:hAnsi="仿宋" w:eastAsia="仿宋" w:cs="仿宋"/>
          <w:sz w:val="28"/>
          <w:szCs w:val="28"/>
        </w:rPr>
        <w:t>教师团队主编的第五本连片特困区蓝皮书《中国连片特困区发展报告》（2020—2021）中收录的研究报告《十年巨变：连片特困区脱贫攻坚回顾与乡村振兴展望》获评全国第十三届“优秀皮书报告奖”二等奖</w:t>
      </w:r>
      <w:r>
        <w:rPr>
          <w:rFonts w:hint="eastAsia" w:ascii="仿宋" w:hAnsi="仿宋" w:eastAsia="仿宋"/>
          <w:spacing w:val="-7"/>
          <w:w w:val="110"/>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本年度，学位点教师积极参与了学院主办或承办的各级学术会议，提升教师团队科学研究水平。其中包含</w:t>
      </w:r>
      <w:r>
        <w:rPr>
          <w:rFonts w:hint="eastAsia" w:ascii="仿宋" w:hAnsi="仿宋" w:eastAsia="仿宋" w:cs="仿宋"/>
          <w:sz w:val="28"/>
          <w:szCs w:val="28"/>
        </w:rPr>
        <w:t>学院与中国扶贫研究院、中国乡村振兴与发展研究中心、北京师范大学经济与资源管理研究院联合举办</w:t>
      </w:r>
      <w:r>
        <w:rPr>
          <w:rFonts w:hint="eastAsia" w:ascii="仿宋" w:hAnsi="仿宋" w:eastAsia="仿宋" w:cs="仿宋"/>
          <w:sz w:val="28"/>
          <w:szCs w:val="28"/>
          <w:lang w:val="en-US" w:eastAsia="zh-CN"/>
        </w:rPr>
        <w:t>的</w:t>
      </w:r>
      <w:r>
        <w:rPr>
          <w:rFonts w:hint="eastAsia" w:ascii="仿宋" w:hAnsi="仿宋" w:eastAsia="仿宋" w:cs="仿宋"/>
          <w:sz w:val="28"/>
          <w:szCs w:val="28"/>
        </w:rPr>
        <w:t>“乡村振兴与绿色发展专题研讨暨智库建设经验交流会”</w:t>
      </w:r>
      <w:r>
        <w:rPr>
          <w:rFonts w:hint="eastAsia" w:ascii="仿宋" w:hAnsi="仿宋" w:eastAsia="仿宋" w:cs="仿宋"/>
          <w:sz w:val="28"/>
          <w:szCs w:val="28"/>
          <w:lang w:val="en-US" w:eastAsia="zh-CN"/>
        </w:rPr>
        <w:t>、</w:t>
      </w:r>
      <w:r>
        <w:rPr>
          <w:rFonts w:hint="eastAsia" w:ascii="仿宋" w:hAnsi="仿宋" w:eastAsia="仿宋" w:cs="仿宋"/>
          <w:sz w:val="28"/>
          <w:szCs w:val="28"/>
        </w:rPr>
        <w:t>学院与中国自然资源学会土地资源研究专业委员会、湖南师范大学等多家单位联合承办</w:t>
      </w:r>
      <w:r>
        <w:rPr>
          <w:rFonts w:hint="eastAsia" w:ascii="仿宋" w:hAnsi="仿宋" w:eastAsia="仿宋" w:cs="仿宋"/>
          <w:sz w:val="28"/>
          <w:szCs w:val="28"/>
          <w:lang w:val="en-US" w:eastAsia="zh-CN"/>
        </w:rPr>
        <w:t>的</w:t>
      </w:r>
      <w:r>
        <w:rPr>
          <w:rFonts w:hint="eastAsia" w:ascii="仿宋" w:hAnsi="仿宋" w:eastAsia="仿宋" w:cs="仿宋"/>
          <w:sz w:val="28"/>
          <w:szCs w:val="28"/>
        </w:rPr>
        <w:t>“新时代三农问题与乡村振兴”专题论坛</w:t>
      </w:r>
      <w:r>
        <w:rPr>
          <w:rFonts w:hint="eastAsia" w:ascii="仿宋" w:hAnsi="仿宋" w:eastAsia="仿宋" w:cs="仿宋"/>
          <w:sz w:val="28"/>
          <w:szCs w:val="28"/>
          <w:lang w:eastAsia="zh-CN"/>
        </w:rPr>
        <w:t>；</w:t>
      </w:r>
      <w:r>
        <w:rPr>
          <w:rFonts w:hint="eastAsia" w:ascii="仿宋" w:hAnsi="仿宋" w:eastAsia="仿宋" w:cs="仿宋"/>
          <w:sz w:val="28"/>
          <w:szCs w:val="28"/>
        </w:rPr>
        <w:t>学院与中国会计学会、全国会计专业学位研究生教育指导委员会联合举办</w:t>
      </w:r>
      <w:r>
        <w:rPr>
          <w:rFonts w:hint="eastAsia" w:ascii="仿宋" w:hAnsi="仿宋" w:eastAsia="仿宋" w:cs="仿宋"/>
          <w:sz w:val="28"/>
          <w:szCs w:val="28"/>
          <w:lang w:val="en-US" w:eastAsia="zh-CN"/>
        </w:rPr>
        <w:t>的</w:t>
      </w:r>
      <w:r>
        <w:rPr>
          <w:rFonts w:hint="eastAsia" w:ascii="仿宋" w:hAnsi="仿宋" w:eastAsia="仿宋" w:cs="仿宋"/>
          <w:sz w:val="28"/>
          <w:szCs w:val="28"/>
        </w:rPr>
        <w:t>“谭劲松教授会计名家公益大讲堂”活动。</w:t>
      </w:r>
      <w:r>
        <w:rPr>
          <w:rFonts w:hint="eastAsia" w:ascii="仿宋" w:hAnsi="仿宋" w:eastAsia="仿宋" w:cs="仿宋"/>
          <w:sz w:val="28"/>
          <w:szCs w:val="28"/>
          <w:lang w:val="en-US" w:eastAsia="zh-CN"/>
        </w:rPr>
        <w:t>并</w:t>
      </w:r>
      <w:r>
        <w:rPr>
          <w:rFonts w:hint="eastAsia" w:ascii="仿宋" w:hAnsi="仿宋" w:eastAsia="仿宋" w:cs="仿宋"/>
          <w:sz w:val="28"/>
          <w:szCs w:val="28"/>
        </w:rPr>
        <w:t>邀请Jeff Jia、谭劲松、付春光、李晖等国内外知名专家和杨少良等企业家以及周扬、廖凯诚、刘胜、刘伟等优秀校友来学院讲学。</w:t>
      </w:r>
    </w:p>
    <w:p>
      <w:pPr>
        <w:pStyle w:val="4"/>
        <w:snapToGrid w:val="0"/>
        <w:spacing w:before="0" w:after="0" w:line="360" w:lineRule="auto"/>
        <w:ind w:firstLine="662" w:firstLineChars="200"/>
        <w:rPr>
          <w:rFonts w:hint="eastAsia" w:ascii="仿宋" w:hAnsi="仿宋" w:eastAsia="仿宋" w:cs="Times New Roman"/>
          <w:w w:val="110"/>
          <w:sz w:val="30"/>
          <w:szCs w:val="30"/>
          <w:lang w:val="en-US" w:eastAsia="zh-CN"/>
        </w:rPr>
      </w:pPr>
      <w:r>
        <w:rPr>
          <w:rFonts w:hint="eastAsia" w:ascii="仿宋" w:hAnsi="仿宋" w:eastAsia="仿宋" w:cs="Times New Roman"/>
          <w:w w:val="110"/>
          <w:sz w:val="30"/>
          <w:szCs w:val="30"/>
          <w:lang w:val="en-US" w:eastAsia="zh-CN"/>
        </w:rPr>
        <w:t>4. 传承创新优秀学科文化情况</w:t>
      </w:r>
      <w:bookmarkEnd w:id="42"/>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一是紧密衔接优秀校友，弘扬优秀传统，加强精神塑造。本年度，学院邀请了优秀校友、中国共产党历史展览馆“金牌讲解员”江扬子返校宣讲党的二十大精神；邀请了</w:t>
      </w:r>
      <w:r>
        <w:rPr>
          <w:rFonts w:hint="eastAsia" w:ascii="仿宋" w:hAnsi="仿宋" w:eastAsia="仿宋" w:cs="仿宋"/>
          <w:sz w:val="28"/>
          <w:szCs w:val="28"/>
        </w:rPr>
        <w:t>周扬、廖凯诚、刘胜、刘伟等优秀校友来学院讲学并对学院学科建设和科研工作进行指导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功举行2023年度校友大会，组建了深圳校友会，参加了西安校友会交流活动，并组织了“与校友面对面”座谈、“商学院高质量发展校友座谈会”“就业与职业发展”论坛暨学院校友首次线下联谊活动等多场次学科优秀传统文化传承交流会。</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坚持以人为本，着力构建尊重、关心和支持教师发展、成长的文化模式，旨在促进教师全面发展，使之具有共同的理想信念、道德素质与科学文化素养，更好地传播优秀学科文化。本年度共组织召开了六批次教师座谈会，学院领导与每一位教职工面对面交流，为每一位老师量身定制教师个人成长规划。</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夯实载体手段，巩固阵地建设，不断提升校园环境的文化含量与品位。本年度，共举办了演讲比赛、专业竞赛、研究生英语翻译大赛、研究生辩论赛、简历制作大赛、文明校园建设等系列活动若干场次，帮助学生健康成长成才。</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是多渠道集聚社会文化艺术力量，使大学文化内涵在深度融入国家文化繁荣发展的大环境中，不断得以传承、深化、丰富和发展。本年度，学院团委荣获了湖南省“五四红旗团委”光荣称号；学位点团队高质量完成了与中国证券业协会、湖南省证券业协会签订共建投资者教育基地及助学协议，投教基地已建成并投入使用，且与湖南省证券业协会联合举办了2023证券行业专场招聘会暨校企合作洽谈会。</w:t>
      </w:r>
      <w:bookmarkEnd w:id="43"/>
      <w:bookmarkStart w:id="44" w:name="_Hlk92130173"/>
    </w:p>
    <w:bookmarkEnd w:id="44"/>
    <w:p>
      <w:pPr>
        <w:pStyle w:val="4"/>
        <w:snapToGrid w:val="0"/>
        <w:spacing w:before="0" w:after="0" w:line="360" w:lineRule="auto"/>
        <w:ind w:firstLine="662" w:firstLineChars="200"/>
        <w:rPr>
          <w:rFonts w:hint="eastAsia" w:ascii="仿宋" w:hAnsi="仿宋" w:eastAsia="仿宋" w:cs="Times New Roman"/>
          <w:w w:val="110"/>
          <w:sz w:val="30"/>
          <w:szCs w:val="30"/>
        </w:rPr>
      </w:pPr>
      <w:bookmarkStart w:id="45" w:name="_Toc92275554"/>
      <w:bookmarkStart w:id="46" w:name="_Hlk92202842"/>
      <w:r>
        <w:rPr>
          <w:rFonts w:hint="eastAsia" w:ascii="仿宋" w:hAnsi="仿宋" w:eastAsia="仿宋" w:cs="Times New Roman"/>
          <w:w w:val="110"/>
          <w:sz w:val="30"/>
          <w:szCs w:val="30"/>
        </w:rPr>
        <w:t>5.国际交流合作等的改革创新情况</w:t>
      </w:r>
      <w:bookmarkEnd w:id="45"/>
    </w:p>
    <w:bookmarkEnd w:id="46"/>
    <w:p>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学位点本年度积极对接国际优秀人才多渠道开展国际交流与合作。积极联系对接英国约克大学（世界排名第150名）管理学院供应链管理首席教授、欧洲运营管理学会执委会执行委员、3本国际重要期刊副主编Jeff Jia教授，并特邀其成为学院特聘教授。学位点教师殷强博士、孙爱淑博士受国家留学基金委资助赴日本访学；主办了亚洲可持续发展和农村振兴联合在线研讨会，邀请了日本亚洲增长研究所的四位专家分别做了主题报告。</w:t>
      </w:r>
    </w:p>
    <w:p>
      <w:pPr>
        <w:pStyle w:val="3"/>
        <w:snapToGrid w:val="0"/>
        <w:spacing w:before="0" w:after="0" w:line="360" w:lineRule="auto"/>
        <w:rPr>
          <w:rFonts w:ascii="黑体" w:hAnsi="黑体" w:eastAsia="黑体"/>
          <w:b w:val="0"/>
          <w:bCs w:val="0"/>
        </w:rPr>
      </w:pPr>
      <w:bookmarkStart w:id="47" w:name="_Toc92275555"/>
      <w:r>
        <w:rPr>
          <w:rFonts w:hint="eastAsia" w:ascii="黑体" w:hAnsi="黑体" w:eastAsia="黑体"/>
          <w:b w:val="0"/>
          <w:bCs w:val="0"/>
        </w:rPr>
        <w:t>五、教育质量评估与分析</w:t>
      </w:r>
      <w:bookmarkEnd w:id="47"/>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48" w:name="_Toc92275556"/>
      <w:r>
        <w:rPr>
          <w:rFonts w:hint="eastAsia" w:ascii="仿宋" w:hAnsi="仿宋" w:eastAsia="仿宋" w:cs="Times New Roman"/>
          <w:w w:val="110"/>
          <w:sz w:val="30"/>
          <w:szCs w:val="30"/>
        </w:rPr>
        <w:t>1.学位授权点自我评估进展及问题分析</w:t>
      </w:r>
      <w:bookmarkEnd w:id="48"/>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（1）引进和稳定高水平学科带头人、中青年学术骨干比较困难。学校位于湘鄂渝黔四省交汇处的老少边山穷地区，区位劣势和经济弱势使得引进和稳定高水平人才较为困难。</w:t>
      </w:r>
    </w:p>
    <w:p>
      <w:pPr>
        <w:snapToGrid w:val="0"/>
        <w:spacing w:line="360" w:lineRule="auto"/>
        <w:ind w:firstLine="588" w:firstLineChars="200"/>
        <w:rPr>
          <w:rFonts w:ascii="仿宋" w:hAnsi="仿宋" w:eastAsia="仿宋"/>
          <w:spacing w:val="-7"/>
          <w:w w:val="110"/>
          <w:sz w:val="28"/>
          <w:szCs w:val="28"/>
        </w:rPr>
      </w:pPr>
      <w:bookmarkStart w:id="49" w:name="_Hlk92374451"/>
      <w:r>
        <w:rPr>
          <w:rFonts w:hint="eastAsia" w:ascii="仿宋" w:hAnsi="仿宋" w:eastAsia="仿宋"/>
          <w:spacing w:val="-7"/>
          <w:w w:val="110"/>
          <w:sz w:val="28"/>
          <w:szCs w:val="28"/>
        </w:rPr>
        <w:t>（</w:t>
      </w:r>
      <w:r>
        <w:rPr>
          <w:rFonts w:ascii="仿宋" w:hAnsi="仿宋" w:eastAsia="仿宋"/>
          <w:spacing w:val="-7"/>
          <w:w w:val="110"/>
          <w:sz w:val="28"/>
          <w:szCs w:val="28"/>
        </w:rPr>
        <w:t>2</w:t>
      </w:r>
      <w:r>
        <w:rPr>
          <w:rFonts w:hint="eastAsia" w:ascii="仿宋" w:hAnsi="仿宋" w:eastAsia="仿宋"/>
          <w:spacing w:val="-7"/>
          <w:w w:val="110"/>
          <w:sz w:val="28"/>
          <w:szCs w:val="28"/>
        </w:rPr>
        <w:t>）学位点导师的科研创新能力</w:t>
      </w:r>
      <w:r>
        <w:rPr>
          <w:rFonts w:hint="eastAsia" w:ascii="仿宋" w:hAnsi="仿宋" w:eastAsia="仿宋"/>
          <w:spacing w:val="-7"/>
          <w:w w:val="110"/>
          <w:sz w:val="28"/>
          <w:szCs w:val="28"/>
          <w:lang w:val="en-US" w:eastAsia="zh-CN"/>
        </w:rPr>
        <w:t>还有待进一步提升</w:t>
      </w:r>
      <w:r>
        <w:rPr>
          <w:rFonts w:hint="eastAsia" w:ascii="仿宋" w:hAnsi="仿宋" w:eastAsia="仿宋"/>
          <w:spacing w:val="-7"/>
          <w:w w:val="110"/>
          <w:sz w:val="28"/>
          <w:szCs w:val="28"/>
        </w:rPr>
        <w:t>。近年来，由于高档次论文的发表难度持续加大，学位点导师和研究生发表高质量、高级别论文的数量有一定的下降</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导师团队建设</w:t>
      </w:r>
      <w:r>
        <w:rPr>
          <w:rFonts w:hint="eastAsia" w:ascii="仿宋" w:hAnsi="仿宋" w:eastAsia="仿宋"/>
          <w:spacing w:val="-7"/>
          <w:w w:val="110"/>
          <w:sz w:val="28"/>
          <w:szCs w:val="28"/>
          <w:lang w:val="en-US" w:eastAsia="zh-CN"/>
        </w:rPr>
        <w:t>相对</w:t>
      </w:r>
      <w:r>
        <w:rPr>
          <w:rFonts w:hint="eastAsia" w:ascii="仿宋" w:hAnsi="仿宋" w:eastAsia="仿宋"/>
          <w:spacing w:val="-7"/>
          <w:w w:val="110"/>
          <w:sz w:val="28"/>
          <w:szCs w:val="28"/>
        </w:rPr>
        <w:t>滞后</w:t>
      </w:r>
      <w:r>
        <w:rPr>
          <w:rFonts w:hint="eastAsia" w:ascii="仿宋" w:hAnsi="仿宋" w:eastAsia="仿宋"/>
          <w:spacing w:val="-7"/>
          <w:w w:val="110"/>
          <w:sz w:val="28"/>
          <w:szCs w:val="28"/>
          <w:lang w:val="en-US" w:eastAsia="zh-CN"/>
        </w:rPr>
        <w:t>于学院发展实际</w:t>
      </w:r>
      <w:r>
        <w:rPr>
          <w:rFonts w:hint="eastAsia" w:ascii="仿宋" w:hAnsi="仿宋" w:eastAsia="仿宋"/>
          <w:spacing w:val="-7"/>
          <w:w w:val="110"/>
          <w:sz w:val="28"/>
          <w:szCs w:val="28"/>
        </w:rPr>
        <w:t>，</w:t>
      </w:r>
      <w:r>
        <w:rPr>
          <w:rFonts w:hint="eastAsia" w:ascii="仿宋" w:hAnsi="仿宋" w:eastAsia="仿宋"/>
          <w:spacing w:val="-7"/>
          <w:w w:val="110"/>
          <w:sz w:val="28"/>
          <w:szCs w:val="28"/>
          <w:lang w:val="en-US" w:eastAsia="zh-CN"/>
        </w:rPr>
        <w:t>制约了导师对</w:t>
      </w:r>
      <w:r>
        <w:rPr>
          <w:rFonts w:hint="eastAsia" w:ascii="仿宋" w:hAnsi="仿宋" w:eastAsia="仿宋"/>
          <w:spacing w:val="-7"/>
          <w:w w:val="110"/>
          <w:sz w:val="28"/>
          <w:szCs w:val="28"/>
        </w:rPr>
        <w:t>研究生的指导，教学科研成果</w:t>
      </w:r>
      <w:r>
        <w:rPr>
          <w:rFonts w:hint="eastAsia" w:ascii="仿宋" w:hAnsi="仿宋" w:eastAsia="仿宋"/>
          <w:spacing w:val="-7"/>
          <w:w w:val="110"/>
          <w:sz w:val="28"/>
          <w:szCs w:val="28"/>
          <w:lang w:val="en-US" w:eastAsia="zh-CN"/>
        </w:rPr>
        <w:t>有待进一步提升</w:t>
      </w:r>
      <w:r>
        <w:rPr>
          <w:rFonts w:hint="eastAsia" w:ascii="仿宋" w:hAnsi="仿宋" w:eastAsia="仿宋"/>
          <w:spacing w:val="-7"/>
          <w:w w:val="110"/>
          <w:sz w:val="28"/>
          <w:szCs w:val="28"/>
        </w:rPr>
        <w:t>。</w:t>
      </w:r>
    </w:p>
    <w:bookmarkEnd w:id="49"/>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w:t>
      </w:r>
      <w:r>
        <w:rPr>
          <w:rFonts w:ascii="仿宋" w:hAnsi="仿宋" w:eastAsia="仿宋"/>
          <w:spacing w:val="-7"/>
          <w:w w:val="110"/>
          <w:sz w:val="28"/>
          <w:szCs w:val="28"/>
        </w:rPr>
        <w:t>3</w:t>
      </w:r>
      <w:r>
        <w:rPr>
          <w:rFonts w:hint="eastAsia" w:ascii="仿宋" w:hAnsi="仿宋" w:eastAsia="仿宋"/>
          <w:spacing w:val="-7"/>
          <w:w w:val="110"/>
          <w:sz w:val="28"/>
          <w:szCs w:val="28"/>
        </w:rPr>
        <w:t>）师生参加高水平国际学术会议相对较少。学校所在地吉首市交通相对闭塞，“走出去”和“请进来”相对不便且成本较大，导致师生参加高水平国际国内学术会议，学科举办各类学术会议的次数都相对较少。</w:t>
      </w:r>
    </w:p>
    <w:p>
      <w:pPr>
        <w:snapToGrid w:val="0"/>
        <w:spacing w:line="360" w:lineRule="auto"/>
        <w:ind w:firstLine="588" w:firstLineChars="200"/>
        <w:rPr>
          <w:rFonts w:ascii="仿宋" w:hAnsi="仿宋" w:eastAsia="仿宋"/>
          <w:spacing w:val="-7"/>
          <w:w w:val="110"/>
          <w:sz w:val="30"/>
          <w:szCs w:val="30"/>
        </w:rPr>
      </w:pPr>
      <w:r>
        <w:rPr>
          <w:rFonts w:hint="eastAsia" w:ascii="仿宋" w:hAnsi="仿宋" w:eastAsia="仿宋"/>
          <w:spacing w:val="-7"/>
          <w:w w:val="110"/>
          <w:sz w:val="28"/>
          <w:szCs w:val="28"/>
        </w:rPr>
        <w:t>（</w:t>
      </w:r>
      <w:r>
        <w:rPr>
          <w:rFonts w:ascii="仿宋" w:hAnsi="仿宋" w:eastAsia="仿宋"/>
          <w:spacing w:val="-7"/>
          <w:w w:val="110"/>
          <w:sz w:val="28"/>
          <w:szCs w:val="28"/>
        </w:rPr>
        <w:t>4</w:t>
      </w:r>
      <w:r>
        <w:rPr>
          <w:rFonts w:hint="eastAsia" w:ascii="仿宋" w:hAnsi="仿宋" w:eastAsia="仿宋"/>
          <w:spacing w:val="-7"/>
          <w:w w:val="110"/>
          <w:sz w:val="28"/>
          <w:szCs w:val="28"/>
        </w:rPr>
        <w:t>）学校外文图书资料相对不足，缺乏商学数据库。尽管本学科现有专业相关图书资料5 万余册，专业相关期刊70 余种，但外文图书资料相对不足，外文期刊种类偏少，使得文献资料查询存在一定困难。</w:t>
      </w:r>
    </w:p>
    <w:p>
      <w:pPr>
        <w:pStyle w:val="4"/>
        <w:snapToGrid w:val="0"/>
        <w:spacing w:before="0" w:after="0" w:line="360" w:lineRule="auto"/>
        <w:ind w:firstLine="662" w:firstLineChars="200"/>
        <w:rPr>
          <w:rFonts w:hint="eastAsia" w:ascii="仿宋" w:hAnsi="仿宋" w:eastAsia="仿宋" w:cs="Times New Roman"/>
          <w:w w:val="110"/>
          <w:sz w:val="30"/>
          <w:szCs w:val="30"/>
        </w:rPr>
      </w:pPr>
      <w:bookmarkStart w:id="50" w:name="_Toc92275557"/>
      <w:r>
        <w:rPr>
          <w:rFonts w:hint="eastAsia" w:ascii="仿宋" w:hAnsi="仿宋" w:eastAsia="仿宋" w:cs="Times New Roman"/>
          <w:w w:val="110"/>
          <w:sz w:val="30"/>
          <w:szCs w:val="30"/>
        </w:rPr>
        <w:t>2.学位论文抽检情况及问题分析</w:t>
      </w:r>
      <w:bookmarkEnd w:id="50"/>
    </w:p>
    <w:p>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学位点学位论文的全程实行“源头控制、过程监督、出口从严”策略，实施“审题—开题—中期检查—校内专家评阅—预答辩—校外盲审—答辩”等环节，对研究生学位论文实行严格的“双盲”</w:t>
      </w:r>
      <w:r>
        <w:rPr>
          <w:rFonts w:hint="eastAsia" w:ascii="仿宋" w:hAnsi="仿宋" w:eastAsia="仿宋"/>
          <w:spacing w:val="-7"/>
          <w:w w:val="110"/>
          <w:sz w:val="28"/>
          <w:szCs w:val="28"/>
          <w:lang w:val="en-US" w:eastAsia="zh-CN"/>
        </w:rPr>
        <w:t>评审</w:t>
      </w:r>
      <w:r>
        <w:rPr>
          <w:rFonts w:hint="eastAsia" w:ascii="仿宋" w:hAnsi="仿宋" w:eastAsia="仿宋"/>
          <w:spacing w:val="-7"/>
          <w:w w:val="110"/>
          <w:sz w:val="28"/>
          <w:szCs w:val="28"/>
        </w:rPr>
        <w:t>制度，对盲审意见为“不同意答辩”的不予答辩。论文答辩邀请校外相关研究领域专家主持，对答辩</w:t>
      </w:r>
      <w:r>
        <w:rPr>
          <w:rFonts w:hint="eastAsia" w:ascii="仿宋" w:hAnsi="仿宋" w:eastAsia="仿宋"/>
          <w:spacing w:val="-7"/>
          <w:w w:val="110"/>
          <w:sz w:val="28"/>
          <w:szCs w:val="28"/>
          <w:lang w:val="en-US" w:eastAsia="zh-CN"/>
        </w:rPr>
        <w:t>过程中问题较大的论文</w:t>
      </w:r>
      <w:r>
        <w:rPr>
          <w:rFonts w:hint="eastAsia" w:ascii="仿宋" w:hAnsi="仿宋" w:eastAsia="仿宋"/>
          <w:spacing w:val="-7"/>
          <w:w w:val="110"/>
          <w:sz w:val="28"/>
          <w:szCs w:val="28"/>
        </w:rPr>
        <w:t>严格按照答辩委员会提出的修改意见进行修改</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lang w:val="en-US" w:eastAsia="zh-CN"/>
        </w:rPr>
        <w:t>并实行定稿前集中检查落实修改责任制度</w:t>
      </w:r>
      <w:r>
        <w:rPr>
          <w:rFonts w:hint="eastAsia" w:ascii="仿宋" w:hAnsi="仿宋" w:eastAsia="仿宋"/>
          <w:spacing w:val="-7"/>
          <w:w w:val="110"/>
          <w:sz w:val="28"/>
          <w:szCs w:val="28"/>
        </w:rPr>
        <w:t>。由于管理规范、指导严谨，</w:t>
      </w:r>
      <w:r>
        <w:rPr>
          <w:rFonts w:hint="eastAsia" w:ascii="仿宋" w:hAnsi="仿宋" w:eastAsia="仿宋"/>
          <w:spacing w:val="-7"/>
          <w:w w:val="110"/>
          <w:sz w:val="28"/>
          <w:szCs w:val="28"/>
          <w:lang w:val="en-US" w:eastAsia="zh-CN"/>
        </w:rPr>
        <w:t>层层</w:t>
      </w:r>
      <w:r>
        <w:rPr>
          <w:rFonts w:hint="eastAsia" w:ascii="仿宋" w:hAnsi="仿宋" w:eastAsia="仿宋"/>
          <w:spacing w:val="-7"/>
          <w:w w:val="110"/>
          <w:sz w:val="28"/>
          <w:szCs w:val="28"/>
        </w:rPr>
        <w:t>严把论文质量关，202</w:t>
      </w:r>
      <w:r>
        <w:rPr>
          <w:rFonts w:hint="eastAsia" w:ascii="仿宋" w:hAnsi="仿宋" w:eastAsia="仿宋"/>
          <w:spacing w:val="-7"/>
          <w:w w:val="110"/>
          <w:sz w:val="28"/>
          <w:szCs w:val="28"/>
          <w:lang w:val="en-US" w:eastAsia="zh-CN"/>
        </w:rPr>
        <w:t>3</w:t>
      </w:r>
      <w:r>
        <w:rPr>
          <w:rFonts w:hint="eastAsia" w:ascii="仿宋" w:hAnsi="仿宋" w:eastAsia="仿宋"/>
          <w:spacing w:val="-7"/>
          <w:w w:val="110"/>
          <w:sz w:val="28"/>
          <w:szCs w:val="28"/>
        </w:rPr>
        <w:t>年学位论文盲评通过率达100%，答辩通过率为100%</w:t>
      </w:r>
      <w:r>
        <w:rPr>
          <w:rFonts w:hint="eastAsia" w:ascii="仿宋" w:hAnsi="仿宋" w:eastAsia="仿宋"/>
          <w:spacing w:val="-7"/>
          <w:w w:val="110"/>
          <w:sz w:val="28"/>
          <w:szCs w:val="28"/>
          <w:lang w:eastAsia="zh-CN"/>
        </w:rPr>
        <w:t>，</w:t>
      </w:r>
      <w:r>
        <w:rPr>
          <w:rFonts w:hint="eastAsia" w:ascii="仿宋" w:hAnsi="仿宋" w:eastAsia="仿宋"/>
          <w:spacing w:val="-7"/>
          <w:w w:val="110"/>
          <w:sz w:val="28"/>
          <w:szCs w:val="28"/>
        </w:rPr>
        <w:t>省学位办抽检论文</w:t>
      </w:r>
      <w:r>
        <w:rPr>
          <w:rFonts w:hint="eastAsia" w:ascii="仿宋" w:hAnsi="仿宋" w:eastAsia="仿宋"/>
          <w:spacing w:val="-7"/>
          <w:w w:val="110"/>
          <w:sz w:val="28"/>
          <w:szCs w:val="28"/>
          <w:lang w:val="en-US" w:eastAsia="zh-CN"/>
        </w:rPr>
        <w:t>全部合格</w:t>
      </w:r>
      <w:r>
        <w:rPr>
          <w:rFonts w:hint="eastAsia" w:ascii="仿宋" w:hAnsi="仿宋" w:eastAsia="仿宋"/>
          <w:spacing w:val="-7"/>
          <w:w w:val="110"/>
          <w:sz w:val="28"/>
          <w:szCs w:val="28"/>
        </w:rPr>
        <w:t>。</w:t>
      </w:r>
    </w:p>
    <w:p>
      <w:pPr>
        <w:pStyle w:val="3"/>
        <w:snapToGrid w:val="0"/>
        <w:spacing w:before="0" w:after="0" w:line="360" w:lineRule="auto"/>
        <w:rPr>
          <w:rFonts w:hint="eastAsia" w:ascii="黑体" w:hAnsi="黑体" w:eastAsia="黑体"/>
          <w:b w:val="0"/>
          <w:bCs w:val="0"/>
          <w:color w:val="000000" w:themeColor="text1"/>
          <w:highlight w:val="none"/>
          <w14:textFill>
            <w14:solidFill>
              <w14:schemeClr w14:val="tx1"/>
            </w14:solidFill>
          </w14:textFill>
        </w:rPr>
      </w:pPr>
      <w:bookmarkStart w:id="51" w:name="_Toc92275558"/>
      <w:r>
        <w:rPr>
          <w:rFonts w:hint="eastAsia" w:ascii="黑体" w:hAnsi="黑体" w:eastAsia="黑体"/>
          <w:b w:val="0"/>
          <w:bCs w:val="0"/>
          <w:color w:val="000000" w:themeColor="text1"/>
          <w14:textFill>
            <w14:solidFill>
              <w14:schemeClr w14:val="tx1"/>
            </w14:solidFill>
          </w14:textFill>
        </w:rPr>
        <w:t>六、</w:t>
      </w:r>
      <w:r>
        <w:rPr>
          <w:rFonts w:hint="eastAsia" w:ascii="黑体" w:hAnsi="黑体" w:eastAsia="黑体"/>
          <w:b w:val="0"/>
          <w:bCs w:val="0"/>
          <w:color w:val="000000" w:themeColor="text1"/>
          <w:highlight w:val="none"/>
          <w14:textFill>
            <w14:solidFill>
              <w14:schemeClr w14:val="tx1"/>
            </w14:solidFill>
          </w14:textFill>
        </w:rPr>
        <w:t>改进措施</w:t>
      </w:r>
      <w:bookmarkEnd w:id="51"/>
    </w:p>
    <w:p>
      <w:pPr>
        <w:snapToGrid w:val="0"/>
        <w:spacing w:line="360" w:lineRule="auto"/>
        <w:ind w:firstLine="560" w:firstLineChars="200"/>
        <w:rPr>
          <w:rFonts w:ascii="仿宋" w:hAnsi="仿宋" w:eastAsia="仿宋"/>
          <w:color w:val="000000" w:themeColor="text1"/>
          <w:spacing w:val="-7"/>
          <w:w w:val="11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学位点将</w:t>
      </w:r>
      <w:r>
        <w:rPr>
          <w:rFonts w:hint="eastAsia" w:ascii="仿宋" w:hAnsi="仿宋" w:eastAsia="仿宋"/>
          <w:color w:val="000000" w:themeColor="text1"/>
          <w:sz w:val="28"/>
          <w:szCs w:val="28"/>
          <w:lang w:val="en-US" w:eastAsia="zh-CN"/>
          <w14:textFill>
            <w14:solidFill>
              <w14:schemeClr w14:val="tx1"/>
            </w14:solidFill>
          </w14:textFill>
        </w:rPr>
        <w:t>继续</w:t>
      </w:r>
      <w:r>
        <w:rPr>
          <w:rFonts w:hint="eastAsia" w:ascii="仿宋" w:hAnsi="仿宋" w:eastAsia="仿宋" w:cs="仿宋"/>
          <w:color w:val="000000" w:themeColor="text1"/>
          <w:sz w:val="28"/>
          <w:szCs w:val="28"/>
          <w14:textFill>
            <w14:solidFill>
              <w14:schemeClr w14:val="tx1"/>
            </w14:solidFill>
          </w14:textFill>
        </w:rPr>
        <w:t>坚持以党的二十大精神以及习近平总书记考察湖南时重要讲话指示精神为指导，</w:t>
      </w:r>
      <w:r>
        <w:rPr>
          <w:rFonts w:hint="eastAsia" w:ascii="仿宋" w:hAnsi="仿宋" w:eastAsia="仿宋" w:cs="宋体"/>
          <w:color w:val="000000" w:themeColor="text1"/>
          <w:sz w:val="28"/>
          <w:szCs w:val="28"/>
          <w14:textFill>
            <w14:solidFill>
              <w14:schemeClr w14:val="tx1"/>
            </w14:solidFill>
          </w14:textFill>
        </w:rPr>
        <w:t>抢抓“十四五”学科发展、委省共建以及学校获得湖南省双一流高校建设机遇，积极争取各级政府在政策、项目和经费方面的支持，</w:t>
      </w:r>
      <w:r>
        <w:rPr>
          <w:rFonts w:hint="eastAsia" w:ascii="仿宋" w:hAnsi="仿宋" w:eastAsia="仿宋"/>
          <w:color w:val="000000" w:themeColor="text1"/>
          <w:spacing w:val="-7"/>
          <w:w w:val="110"/>
          <w:sz w:val="28"/>
          <w:szCs w:val="28"/>
          <w14:textFill>
            <w14:solidFill>
              <w14:schemeClr w14:val="tx1"/>
            </w14:solidFill>
          </w14:textFill>
        </w:rPr>
        <w:t>提高研究水平，强化学科特色，不断提高学位点综合实力。</w:t>
      </w:r>
    </w:p>
    <w:p>
      <w:pPr>
        <w:snapToGrid w:val="0"/>
        <w:spacing w:line="360" w:lineRule="auto"/>
        <w:ind w:firstLine="602" w:firstLineChars="200"/>
        <w:rPr>
          <w:rFonts w:hint="eastAsia" w:ascii="仿宋" w:hAnsi="仿宋" w:eastAsia="仿宋" w:cs="宋体"/>
          <w:b/>
          <w:bCs/>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lang w:val="en-US" w:eastAsia="zh-CN"/>
          <w14:textFill>
            <w14:solidFill>
              <w14:schemeClr w14:val="tx1"/>
            </w14:solidFill>
          </w14:textFill>
        </w:rPr>
        <w:t>1.结合本土特色，继续推进</w:t>
      </w:r>
      <w:r>
        <w:rPr>
          <w:rFonts w:hint="eastAsia" w:ascii="仿宋" w:hAnsi="仿宋" w:eastAsia="仿宋" w:cs="宋体"/>
          <w:b/>
          <w:bCs/>
          <w:color w:val="000000" w:themeColor="text1"/>
          <w:sz w:val="30"/>
          <w:szCs w:val="30"/>
          <w14:textFill>
            <w14:solidFill>
              <w14:schemeClr w14:val="tx1"/>
            </w14:solidFill>
          </w14:textFill>
        </w:rPr>
        <w:t>研究生金课建设</w:t>
      </w:r>
    </w:p>
    <w:p>
      <w:pPr>
        <w:snapToGrid w:val="0"/>
        <w:spacing w:line="360" w:lineRule="auto"/>
        <w:ind w:firstLine="560" w:firstLineChars="200"/>
        <w:rPr>
          <w:rFonts w:hint="eastAsia" w:ascii="仿宋" w:hAnsi="仿宋" w:eastAsia="仿宋"/>
          <w:color w:val="000000" w:themeColor="text1"/>
          <w:spacing w:val="-7"/>
          <w:w w:val="110"/>
          <w:sz w:val="28"/>
          <w:szCs w:val="28"/>
          <w:lang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进一步</w:t>
      </w:r>
      <w:r>
        <w:rPr>
          <w:rFonts w:hint="eastAsia" w:ascii="仿宋" w:hAnsi="仿宋" w:eastAsia="仿宋" w:cs="宋体"/>
          <w:color w:val="000000" w:themeColor="text1"/>
          <w:sz w:val="28"/>
          <w:szCs w:val="28"/>
          <w14:textFill>
            <w14:solidFill>
              <w14:schemeClr w14:val="tx1"/>
            </w14:solidFill>
          </w14:textFill>
        </w:rPr>
        <w:t>推进研究生课程思政建设项目，实现课程教学与研究生思想政治工作的</w:t>
      </w:r>
      <w:r>
        <w:rPr>
          <w:rFonts w:hint="eastAsia" w:ascii="仿宋" w:hAnsi="仿宋" w:eastAsia="仿宋" w:cs="宋体"/>
          <w:color w:val="000000" w:themeColor="text1"/>
          <w:sz w:val="28"/>
          <w:szCs w:val="28"/>
          <w:lang w:val="en-US" w:eastAsia="zh-CN"/>
          <w14:textFill>
            <w14:solidFill>
              <w14:schemeClr w14:val="tx1"/>
            </w14:solidFill>
          </w14:textFill>
        </w:rPr>
        <w:t>深度</w:t>
      </w:r>
      <w:r>
        <w:rPr>
          <w:rFonts w:hint="eastAsia" w:ascii="仿宋" w:hAnsi="仿宋" w:eastAsia="仿宋" w:cs="宋体"/>
          <w:color w:val="000000" w:themeColor="text1"/>
          <w:sz w:val="28"/>
          <w:szCs w:val="28"/>
          <w14:textFill>
            <w14:solidFill>
              <w14:schemeClr w14:val="tx1"/>
            </w14:solidFill>
          </w14:textFill>
        </w:rPr>
        <w:t>融合。</w:t>
      </w:r>
      <w:r>
        <w:rPr>
          <w:rFonts w:hint="eastAsia" w:ascii="仿宋" w:hAnsi="仿宋" w:eastAsia="仿宋" w:cs="宋体"/>
          <w:color w:val="000000" w:themeColor="text1"/>
          <w:sz w:val="28"/>
          <w:szCs w:val="28"/>
          <w:lang w:val="en-US" w:eastAsia="zh-CN"/>
          <w14:textFill>
            <w14:solidFill>
              <w14:schemeClr w14:val="tx1"/>
            </w14:solidFill>
          </w14:textFill>
        </w:rPr>
        <w:t>同时</w:t>
      </w:r>
      <w:r>
        <w:rPr>
          <w:rFonts w:hint="eastAsia" w:ascii="仿宋" w:hAnsi="仿宋" w:eastAsia="仿宋" w:cs="宋体"/>
          <w:color w:val="000000" w:themeColor="text1"/>
          <w:sz w:val="28"/>
          <w:szCs w:val="28"/>
          <w14:textFill>
            <w14:solidFill>
              <w14:schemeClr w14:val="tx1"/>
            </w14:solidFill>
          </w14:textFill>
        </w:rPr>
        <w:t>以培养方案</w:t>
      </w:r>
      <w:r>
        <w:rPr>
          <w:rFonts w:hint="eastAsia" w:ascii="仿宋" w:hAnsi="仿宋" w:eastAsia="仿宋" w:cs="宋体"/>
          <w:color w:val="000000" w:themeColor="text1"/>
          <w:sz w:val="28"/>
          <w:szCs w:val="28"/>
          <w:lang w:val="en-US" w:eastAsia="zh-CN"/>
          <w14:textFill>
            <w14:solidFill>
              <w14:schemeClr w14:val="tx1"/>
            </w14:solidFill>
          </w14:textFill>
        </w:rPr>
        <w:t>及学位授予标准</w:t>
      </w:r>
      <w:r>
        <w:rPr>
          <w:rFonts w:hint="eastAsia" w:ascii="仿宋" w:hAnsi="仿宋" w:eastAsia="仿宋" w:cs="宋体"/>
          <w:color w:val="000000" w:themeColor="text1"/>
          <w:sz w:val="28"/>
          <w:szCs w:val="28"/>
          <w14:textFill>
            <w14:solidFill>
              <w14:schemeClr w14:val="tx1"/>
            </w14:solidFill>
          </w14:textFill>
        </w:rPr>
        <w:t>优化为基础，持续推进研究生课程设计和课程内容更新。</w:t>
      </w:r>
      <w:r>
        <w:rPr>
          <w:rFonts w:hint="eastAsia" w:ascii="仿宋" w:hAnsi="仿宋" w:eastAsia="仿宋" w:cs="宋体"/>
          <w:color w:val="000000" w:themeColor="text1"/>
          <w:sz w:val="28"/>
          <w:szCs w:val="28"/>
          <w:lang w:val="en-US" w:eastAsia="zh-CN"/>
          <w14:textFill>
            <w14:solidFill>
              <w14:schemeClr w14:val="tx1"/>
            </w14:solidFill>
          </w14:textFill>
        </w:rPr>
        <w:t>进一步</w:t>
      </w:r>
      <w:r>
        <w:rPr>
          <w:rFonts w:hint="eastAsia" w:ascii="仿宋" w:hAnsi="仿宋" w:eastAsia="仿宋" w:cs="宋体"/>
          <w:color w:val="000000" w:themeColor="text1"/>
          <w:sz w:val="28"/>
          <w:szCs w:val="28"/>
          <w14:textFill>
            <w14:solidFill>
              <w14:schemeClr w14:val="tx1"/>
            </w14:solidFill>
          </w14:textFill>
        </w:rPr>
        <w:t>激发任课教师提升教学质量的积极性，支持和鼓励任课教师积极申报</w:t>
      </w:r>
      <w:r>
        <w:rPr>
          <w:rFonts w:hint="eastAsia" w:ascii="仿宋" w:hAnsi="仿宋" w:eastAsia="仿宋" w:cs="宋体"/>
          <w:color w:val="000000" w:themeColor="text1"/>
          <w:sz w:val="28"/>
          <w:szCs w:val="28"/>
          <w:lang w:val="en-US" w:eastAsia="zh-CN"/>
          <w14:textFill>
            <w14:solidFill>
              <w14:schemeClr w14:val="tx1"/>
            </w14:solidFill>
          </w14:textFill>
        </w:rPr>
        <w:t>湖南省</w:t>
      </w:r>
      <w:r>
        <w:rPr>
          <w:rFonts w:hint="eastAsia" w:ascii="仿宋" w:hAnsi="仿宋" w:eastAsia="仿宋" w:cs="宋体"/>
          <w:color w:val="000000" w:themeColor="text1"/>
          <w:sz w:val="28"/>
          <w:szCs w:val="28"/>
          <w14:textFill>
            <w14:solidFill>
              <w14:schemeClr w14:val="tx1"/>
            </w14:solidFill>
          </w14:textFill>
        </w:rPr>
        <w:t>研究生</w:t>
      </w:r>
      <w:r>
        <w:rPr>
          <w:rFonts w:hint="eastAsia" w:ascii="仿宋" w:hAnsi="仿宋" w:eastAsia="仿宋" w:cs="宋体"/>
          <w:color w:val="000000" w:themeColor="text1"/>
          <w:sz w:val="28"/>
          <w:szCs w:val="28"/>
          <w:lang w:val="en-US" w:eastAsia="zh-CN"/>
          <w14:textFill>
            <w14:solidFill>
              <w14:schemeClr w14:val="tx1"/>
            </w14:solidFill>
          </w14:textFill>
        </w:rPr>
        <w:t>精品</w:t>
      </w:r>
      <w:r>
        <w:rPr>
          <w:rFonts w:hint="eastAsia" w:ascii="仿宋" w:hAnsi="仿宋" w:eastAsia="仿宋" w:cs="宋体"/>
          <w:color w:val="000000" w:themeColor="text1"/>
          <w:sz w:val="28"/>
          <w:szCs w:val="28"/>
          <w14:textFill>
            <w14:solidFill>
              <w14:schemeClr w14:val="tx1"/>
            </w14:solidFill>
          </w14:textFill>
        </w:rPr>
        <w:t>课程</w:t>
      </w:r>
      <w:r>
        <w:rPr>
          <w:rFonts w:hint="eastAsia" w:ascii="仿宋" w:hAnsi="仿宋" w:eastAsia="仿宋" w:cs="宋体"/>
          <w:color w:val="000000" w:themeColor="text1"/>
          <w:sz w:val="28"/>
          <w:szCs w:val="28"/>
          <w:lang w:val="en-US" w:eastAsia="zh-CN"/>
          <w14:textFill>
            <w14:solidFill>
              <w14:schemeClr w14:val="tx1"/>
            </w14:solidFill>
          </w14:textFill>
        </w:rPr>
        <w:t>及精品教材</w:t>
      </w:r>
      <w:r>
        <w:rPr>
          <w:rFonts w:hint="eastAsia" w:ascii="仿宋" w:hAnsi="仿宋" w:eastAsia="仿宋" w:cs="宋体"/>
          <w:color w:val="000000" w:themeColor="text1"/>
          <w:sz w:val="28"/>
          <w:szCs w:val="28"/>
          <w14:textFill>
            <w14:solidFill>
              <w14:schemeClr w14:val="tx1"/>
            </w14:solidFill>
          </w14:textFill>
        </w:rPr>
        <w:t>；鼓励和支持任课教师立足</w:t>
      </w:r>
      <w:r>
        <w:rPr>
          <w:rFonts w:hint="eastAsia" w:ascii="仿宋" w:hAnsi="仿宋" w:eastAsia="仿宋" w:cs="宋体"/>
          <w:color w:val="000000" w:themeColor="text1"/>
          <w:sz w:val="28"/>
          <w:szCs w:val="28"/>
          <w:lang w:val="en-US" w:eastAsia="zh-CN"/>
          <w14:textFill>
            <w14:solidFill>
              <w14:schemeClr w14:val="tx1"/>
            </w14:solidFill>
          </w14:textFill>
        </w:rPr>
        <w:t>研究生培养特色结合</w:t>
      </w:r>
      <w:r>
        <w:rPr>
          <w:rFonts w:hint="eastAsia" w:ascii="仿宋" w:hAnsi="仿宋" w:eastAsia="仿宋" w:cs="宋体"/>
          <w:color w:val="000000" w:themeColor="text1"/>
          <w:sz w:val="28"/>
          <w:szCs w:val="28"/>
          <w14:textFill>
            <w14:solidFill>
              <w14:schemeClr w14:val="tx1"/>
            </w14:solidFill>
          </w14:textFill>
        </w:rPr>
        <w:t>本土资源案例和研究成果，编写并出版</w:t>
      </w:r>
      <w:r>
        <w:rPr>
          <w:rFonts w:hint="eastAsia" w:ascii="仿宋" w:hAnsi="仿宋" w:eastAsia="仿宋" w:cs="宋体"/>
          <w:color w:val="000000" w:themeColor="text1"/>
          <w:sz w:val="28"/>
          <w:szCs w:val="28"/>
          <w:lang w:val="en-US" w:eastAsia="zh-CN"/>
          <w14:textFill>
            <w14:solidFill>
              <w14:schemeClr w14:val="tx1"/>
            </w14:solidFill>
          </w14:textFill>
        </w:rPr>
        <w:t>更多</w:t>
      </w:r>
      <w:r>
        <w:rPr>
          <w:rFonts w:hint="eastAsia" w:ascii="仿宋" w:hAnsi="仿宋" w:eastAsia="仿宋" w:cs="宋体"/>
          <w:color w:val="000000" w:themeColor="text1"/>
          <w:sz w:val="28"/>
          <w:szCs w:val="28"/>
          <w14:textFill>
            <w14:solidFill>
              <w14:schemeClr w14:val="tx1"/>
            </w14:solidFill>
          </w14:textFill>
        </w:rPr>
        <w:t>具有本土特色的研究生教材</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持续推进教学手段“现代化”、教学内容“前沿化”、教学资源“本土化”的研究生课程教学改革</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olor w:val="000000" w:themeColor="text1"/>
          <w:spacing w:val="-7"/>
          <w:w w:val="110"/>
          <w:sz w:val="28"/>
          <w:szCs w:val="28"/>
          <w14:textFill>
            <w14:solidFill>
              <w14:schemeClr w14:val="tx1"/>
            </w14:solidFill>
          </w14:textFill>
        </w:rPr>
        <w:t>强化课程</w:t>
      </w:r>
      <w:r>
        <w:rPr>
          <w:rFonts w:hint="eastAsia" w:ascii="仿宋" w:hAnsi="仿宋" w:eastAsia="仿宋"/>
          <w:color w:val="000000" w:themeColor="text1"/>
          <w:spacing w:val="-7"/>
          <w:w w:val="110"/>
          <w:sz w:val="28"/>
          <w:szCs w:val="28"/>
          <w:lang w:val="en-US" w:eastAsia="zh-CN"/>
          <w14:textFill>
            <w14:solidFill>
              <w14:schemeClr w14:val="tx1"/>
            </w14:solidFill>
          </w14:textFill>
        </w:rPr>
        <w:t>本土</w:t>
      </w:r>
      <w:r>
        <w:rPr>
          <w:rFonts w:hint="eastAsia" w:ascii="仿宋" w:hAnsi="仿宋" w:eastAsia="仿宋"/>
          <w:color w:val="000000" w:themeColor="text1"/>
          <w:spacing w:val="-7"/>
          <w:w w:val="110"/>
          <w:sz w:val="28"/>
          <w:szCs w:val="28"/>
          <w14:textFill>
            <w14:solidFill>
              <w14:schemeClr w14:val="tx1"/>
            </w14:solidFill>
          </w14:textFill>
        </w:rPr>
        <w:t>特色</w:t>
      </w:r>
      <w:r>
        <w:rPr>
          <w:rFonts w:hint="eastAsia" w:ascii="仿宋" w:hAnsi="仿宋" w:eastAsia="仿宋"/>
          <w:color w:val="000000" w:themeColor="text1"/>
          <w:spacing w:val="-7"/>
          <w:w w:val="110"/>
          <w:sz w:val="28"/>
          <w:szCs w:val="28"/>
          <w:lang w:eastAsia="zh-CN"/>
          <w14:textFill>
            <w14:solidFill>
              <w14:schemeClr w14:val="tx1"/>
            </w14:solidFill>
          </w14:textFill>
        </w:rPr>
        <w:t>。</w:t>
      </w:r>
    </w:p>
    <w:p>
      <w:pPr>
        <w:snapToGrid w:val="0"/>
        <w:spacing w:line="360" w:lineRule="auto"/>
        <w:ind w:firstLine="590"/>
        <w:rPr>
          <w:rFonts w:hint="eastAsia" w:ascii="仿宋" w:hAnsi="仿宋" w:eastAsia="仿宋" w:cs="宋体"/>
          <w:b/>
          <w:bCs/>
          <w:color w:val="000000" w:themeColor="text1"/>
          <w:sz w:val="30"/>
          <w:szCs w:val="30"/>
          <w:lang w:val="en-US" w:eastAsia="zh-CN"/>
          <w14:textFill>
            <w14:solidFill>
              <w14:schemeClr w14:val="tx1"/>
            </w14:solidFill>
          </w14:textFill>
        </w:rPr>
      </w:pPr>
      <w:r>
        <w:rPr>
          <w:rFonts w:hint="eastAsia" w:ascii="仿宋" w:hAnsi="仿宋" w:eastAsia="仿宋" w:cs="宋体"/>
          <w:b/>
          <w:bCs/>
          <w:color w:val="000000" w:themeColor="text1"/>
          <w:sz w:val="30"/>
          <w:szCs w:val="30"/>
          <w:lang w:val="en-US" w:eastAsia="zh-CN"/>
          <w14:textFill>
            <w14:solidFill>
              <w14:schemeClr w14:val="tx1"/>
            </w14:solidFill>
          </w14:textFill>
        </w:rPr>
        <w:t>2.引进与培养相结合，持续推进导师队伍建设</w:t>
      </w:r>
    </w:p>
    <w:p>
      <w:pPr>
        <w:snapToGrid w:val="0"/>
        <w:spacing w:line="360" w:lineRule="auto"/>
        <w:ind w:firstLine="590"/>
        <w:rPr>
          <w:rFonts w:hint="default" w:ascii="仿宋" w:hAnsi="仿宋" w:eastAsia="仿宋" w:cs="宋体"/>
          <w:color w:val="000000" w:themeColor="text1"/>
          <w:sz w:val="30"/>
          <w:szCs w:val="30"/>
          <w:lang w:val="en-US"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持续推进研究团队建设，以服务区域经济社会发展为目标，进一步凝练学科方向，搭建较高层次学科平台，培养较高水平学科队伍。高度重视导师能力和素质建设工作，</w:t>
      </w:r>
      <w:r>
        <w:rPr>
          <w:rFonts w:hint="eastAsia" w:ascii="仿宋" w:hAnsi="仿宋" w:eastAsia="仿宋" w:cs="宋体"/>
          <w:color w:val="000000" w:themeColor="text1"/>
          <w:sz w:val="28"/>
          <w:szCs w:val="28"/>
          <w:lang w:val="en-US" w:eastAsia="zh-CN"/>
          <w14:textFill>
            <w14:solidFill>
              <w14:schemeClr w14:val="tx1"/>
            </w14:solidFill>
          </w14:textFill>
        </w:rPr>
        <w:t>提高导师业务培训质量，</w:t>
      </w:r>
      <w:r>
        <w:rPr>
          <w:rFonts w:hint="eastAsia" w:ascii="仿宋" w:hAnsi="仿宋" w:eastAsia="仿宋" w:cs="宋体"/>
          <w:color w:val="000000" w:themeColor="text1"/>
          <w:sz w:val="28"/>
          <w:szCs w:val="28"/>
          <w14:textFill>
            <w14:solidFill>
              <w14:schemeClr w14:val="tx1"/>
            </w14:solidFill>
          </w14:textFill>
        </w:rPr>
        <w:t>鼓励和支持导师持续创新研究生培养机制，</w:t>
      </w:r>
      <w:r>
        <w:rPr>
          <w:rFonts w:hint="eastAsia" w:ascii="仿宋" w:hAnsi="仿宋" w:eastAsia="仿宋" w:cs="宋体"/>
          <w:color w:val="000000" w:themeColor="text1"/>
          <w:sz w:val="28"/>
          <w:szCs w:val="28"/>
          <w:lang w:val="en-US" w:eastAsia="zh-CN"/>
          <w14:textFill>
            <w14:solidFill>
              <w14:schemeClr w14:val="tx1"/>
            </w14:solidFill>
          </w14:textFill>
        </w:rPr>
        <w:t>同时</w:t>
      </w:r>
      <w:r>
        <w:rPr>
          <w:rFonts w:hint="eastAsia" w:ascii="仿宋" w:hAnsi="仿宋" w:eastAsia="仿宋" w:cs="宋体"/>
          <w:color w:val="000000" w:themeColor="text1"/>
          <w:sz w:val="28"/>
          <w:szCs w:val="28"/>
          <w14:textFill>
            <w14:solidFill>
              <w14:schemeClr w14:val="tx1"/>
            </w14:solidFill>
          </w14:textFill>
        </w:rPr>
        <w:t>推进导师考核与激励机制创新，突出</w:t>
      </w:r>
      <w:r>
        <w:rPr>
          <w:rFonts w:hint="eastAsia" w:ascii="仿宋" w:hAnsi="仿宋" w:eastAsia="仿宋" w:cs="宋体"/>
          <w:color w:val="000000" w:themeColor="text1"/>
          <w:kern w:val="0"/>
          <w:sz w:val="28"/>
          <w:szCs w:val="28"/>
          <w14:textFill>
            <w14:solidFill>
              <w14:schemeClr w14:val="tx1"/>
            </w14:solidFill>
          </w14:textFill>
        </w:rPr>
        <w:t>研究生导师在研究生培养中的主体地位，</w:t>
      </w:r>
      <w:r>
        <w:rPr>
          <w:rFonts w:hint="eastAsia" w:ascii="仿宋" w:hAnsi="仿宋" w:eastAsia="仿宋" w:cs="宋体"/>
          <w:color w:val="000000" w:themeColor="text1"/>
          <w:kern w:val="0"/>
          <w:sz w:val="28"/>
          <w:szCs w:val="28"/>
          <w:lang w:val="en-US" w:eastAsia="zh-CN"/>
          <w14:textFill>
            <w14:solidFill>
              <w14:schemeClr w14:val="tx1"/>
            </w14:solidFill>
          </w14:textFill>
        </w:rPr>
        <w:t>提高导师的</w:t>
      </w:r>
      <w:r>
        <w:rPr>
          <w:rFonts w:hint="eastAsia" w:ascii="仿宋" w:hAnsi="仿宋" w:eastAsia="仿宋" w:cs="宋体"/>
          <w:color w:val="000000" w:themeColor="text1"/>
          <w:kern w:val="0"/>
          <w:sz w:val="28"/>
          <w:szCs w:val="28"/>
          <w14:textFill>
            <w14:solidFill>
              <w14:schemeClr w14:val="tx1"/>
            </w14:solidFill>
          </w14:textFill>
        </w:rPr>
        <w:t>积极性。</w:t>
      </w:r>
      <w:r>
        <w:rPr>
          <w:rFonts w:hint="eastAsia" w:ascii="仿宋" w:hAnsi="仿宋" w:eastAsia="仿宋" w:cs="宋体"/>
          <w:color w:val="000000" w:themeColor="text1"/>
          <w:kern w:val="0"/>
          <w:sz w:val="28"/>
          <w:szCs w:val="28"/>
          <w:lang w:val="en-US" w:eastAsia="zh-CN"/>
          <w14:textFill>
            <w14:solidFill>
              <w14:schemeClr w14:val="tx1"/>
            </w14:solidFill>
          </w14:textFill>
        </w:rPr>
        <w:t>培养的同时，要</w:t>
      </w:r>
      <w:r>
        <w:rPr>
          <w:rFonts w:hint="eastAsia" w:ascii="仿宋" w:hAnsi="仿宋" w:eastAsia="仿宋" w:cs="宋体"/>
          <w:color w:val="000000" w:themeColor="text1"/>
          <w:sz w:val="28"/>
          <w:szCs w:val="28"/>
          <w:lang w:eastAsia="zh-CN"/>
          <w14:textFill>
            <w14:solidFill>
              <w14:schemeClr w14:val="tx1"/>
            </w14:solidFill>
          </w14:textFill>
        </w:rPr>
        <w:t>努力引进高水平学科带头人和高层次中青年学术骨干，充分发挥学校“俊彦”计划和“双一流”学科建设政策和经费的支持效应，加大对学科带头人和中青年学术骨干的激励力度，创建良好的科研学术氛围，积极推进实施学位点人才梯队培育工程。</w:t>
      </w:r>
    </w:p>
    <w:p>
      <w:pPr>
        <w:snapToGrid w:val="0"/>
        <w:spacing w:line="360" w:lineRule="auto"/>
        <w:ind w:firstLine="602" w:firstLineChars="200"/>
        <w:rPr>
          <w:rFonts w:hint="eastAsia" w:ascii="仿宋" w:hAnsi="仿宋" w:eastAsia="仿宋" w:cs="宋体"/>
          <w:b/>
          <w:bCs/>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lang w:val="en-US" w:eastAsia="zh-CN"/>
          <w14:textFill>
            <w14:solidFill>
              <w14:schemeClr w14:val="tx1"/>
            </w14:solidFill>
          </w14:textFill>
        </w:rPr>
        <w:t>3.多渠道</w:t>
      </w:r>
      <w:r>
        <w:rPr>
          <w:rFonts w:hint="eastAsia" w:ascii="仿宋" w:hAnsi="仿宋" w:eastAsia="仿宋" w:cs="宋体"/>
          <w:b/>
          <w:bCs/>
          <w:color w:val="000000" w:themeColor="text1"/>
          <w:sz w:val="30"/>
          <w:szCs w:val="30"/>
          <w14:textFill>
            <w14:solidFill>
              <w14:schemeClr w14:val="tx1"/>
            </w14:solidFill>
          </w14:textFill>
        </w:rPr>
        <w:t>并行</w:t>
      </w:r>
      <w:r>
        <w:rPr>
          <w:rFonts w:hint="eastAsia" w:ascii="仿宋" w:hAnsi="仿宋" w:eastAsia="仿宋" w:cs="宋体"/>
          <w:b/>
          <w:bCs/>
          <w:color w:val="000000" w:themeColor="text1"/>
          <w:sz w:val="30"/>
          <w:szCs w:val="30"/>
          <w:lang w:eastAsia="zh-CN"/>
          <w14:textFill>
            <w14:solidFill>
              <w14:schemeClr w14:val="tx1"/>
            </w14:solidFill>
          </w14:textFill>
        </w:rPr>
        <w:t>，</w:t>
      </w:r>
      <w:r>
        <w:rPr>
          <w:rFonts w:hint="eastAsia" w:ascii="仿宋" w:hAnsi="仿宋" w:eastAsia="仿宋" w:cs="宋体"/>
          <w:b/>
          <w:bCs/>
          <w:color w:val="000000" w:themeColor="text1"/>
          <w:sz w:val="30"/>
          <w:szCs w:val="30"/>
          <w14:textFill>
            <w14:solidFill>
              <w14:schemeClr w14:val="tx1"/>
            </w14:solidFill>
          </w14:textFill>
        </w:rPr>
        <w:t>推进研究生培养平台建设</w:t>
      </w:r>
    </w:p>
    <w:p>
      <w:pPr>
        <w:snapToGrid w:val="0"/>
        <w:spacing w:line="360" w:lineRule="auto"/>
        <w:ind w:firstLine="560" w:firstLineChars="200"/>
        <w:rPr>
          <w:rFonts w:ascii="仿宋" w:hAnsi="仿宋" w:eastAsia="仿宋"/>
          <w:color w:val="000000" w:themeColor="text1"/>
          <w:spacing w:val="-7"/>
          <w:w w:val="110"/>
          <w:sz w:val="30"/>
          <w:szCs w:val="30"/>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加大</w:t>
      </w:r>
      <w:r>
        <w:rPr>
          <w:rFonts w:hint="eastAsia" w:ascii="仿宋" w:hAnsi="仿宋" w:eastAsia="仿宋" w:cs="宋体"/>
          <w:color w:val="000000" w:themeColor="text1"/>
          <w:sz w:val="28"/>
          <w:szCs w:val="28"/>
          <w:lang w:val="en-US" w:eastAsia="zh-CN"/>
          <w14:textFill>
            <w14:solidFill>
              <w14:schemeClr w14:val="tx1"/>
            </w14:solidFill>
          </w14:textFill>
        </w:rPr>
        <w:t>研究生培养人力、资金</w:t>
      </w:r>
      <w:r>
        <w:rPr>
          <w:rFonts w:hint="eastAsia" w:ascii="仿宋" w:hAnsi="仿宋" w:eastAsia="仿宋" w:cs="宋体"/>
          <w:color w:val="000000" w:themeColor="text1"/>
          <w:sz w:val="28"/>
          <w:szCs w:val="28"/>
          <w14:textFill>
            <w14:solidFill>
              <w14:schemeClr w14:val="tx1"/>
            </w14:solidFill>
          </w14:textFill>
        </w:rPr>
        <w:t>投入，坚持“请进来”与“走出去”并行，</w:t>
      </w:r>
      <w:r>
        <w:rPr>
          <w:rFonts w:hint="eastAsia" w:ascii="仿宋" w:hAnsi="仿宋" w:eastAsia="仿宋" w:cs="宋体"/>
          <w:color w:val="000000" w:themeColor="text1"/>
          <w:sz w:val="28"/>
          <w:szCs w:val="28"/>
          <w:lang w:val="en-US" w:eastAsia="zh-CN"/>
          <w14:textFill>
            <w14:solidFill>
              <w14:schemeClr w14:val="tx1"/>
            </w14:solidFill>
          </w14:textFill>
        </w:rPr>
        <w:t>通过</w:t>
      </w:r>
      <w:r>
        <w:rPr>
          <w:rFonts w:hint="eastAsia" w:ascii="仿宋" w:hAnsi="仿宋" w:eastAsia="仿宋" w:cs="宋体"/>
          <w:color w:val="000000" w:themeColor="text1"/>
          <w:sz w:val="28"/>
          <w:szCs w:val="28"/>
          <w14:textFill>
            <w14:solidFill>
              <w14:schemeClr w14:val="tx1"/>
            </w14:solidFill>
          </w14:textFill>
        </w:rPr>
        <w:t>主办、承办、协办各类国际国内学术会议，为</w:t>
      </w:r>
      <w:r>
        <w:rPr>
          <w:rFonts w:hint="eastAsia" w:ascii="仿宋" w:hAnsi="仿宋" w:eastAsia="仿宋" w:cs="宋体"/>
          <w:color w:val="000000" w:themeColor="text1"/>
          <w:sz w:val="28"/>
          <w:szCs w:val="28"/>
          <w:lang w:val="en-US" w:eastAsia="zh-CN"/>
          <w14:textFill>
            <w14:solidFill>
              <w14:schemeClr w14:val="tx1"/>
            </w14:solidFill>
          </w14:textFill>
        </w:rPr>
        <w:t>学位点</w:t>
      </w:r>
      <w:r>
        <w:rPr>
          <w:rFonts w:hint="eastAsia" w:ascii="仿宋" w:hAnsi="仿宋" w:eastAsia="仿宋" w:cs="宋体"/>
          <w:color w:val="000000" w:themeColor="text1"/>
          <w:sz w:val="28"/>
          <w:szCs w:val="28"/>
          <w14:textFill>
            <w14:solidFill>
              <w14:schemeClr w14:val="tx1"/>
            </w14:solidFill>
          </w14:textFill>
        </w:rPr>
        <w:t>师生开展学术交流活动搭建平台；积极创造有利条件，支持师生赴海内外学习交流，开阔学术视野，提升学术水平。强化校友资源利用，发挥校友在案例开发、研究生实习等方面的特殊作用</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支持和鼓励老师积极申报校级和省级研究生培养创新基地，切实提升基地的建设质量。</w:t>
      </w:r>
    </w:p>
    <w:p>
      <w:pPr>
        <w:snapToGrid w:val="0"/>
        <w:spacing w:line="360" w:lineRule="auto"/>
        <w:ind w:firstLine="590"/>
        <w:rPr>
          <w:rFonts w:hint="eastAsia" w:ascii="仿宋" w:hAnsi="仿宋" w:eastAsia="仿宋" w:cs="宋体"/>
          <w:b/>
          <w:bCs/>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lang w:val="en-US" w:eastAsia="zh-CN"/>
          <w14:textFill>
            <w14:solidFill>
              <w14:schemeClr w14:val="tx1"/>
            </w14:solidFill>
          </w14:textFill>
        </w:rPr>
        <w:t>4.继续</w:t>
      </w:r>
      <w:r>
        <w:rPr>
          <w:rFonts w:hint="eastAsia" w:ascii="仿宋" w:hAnsi="仿宋" w:eastAsia="仿宋" w:cs="宋体"/>
          <w:b/>
          <w:bCs/>
          <w:color w:val="000000" w:themeColor="text1"/>
          <w:sz w:val="30"/>
          <w:szCs w:val="30"/>
          <w14:textFill>
            <w14:solidFill>
              <w14:schemeClr w14:val="tx1"/>
            </w14:solidFill>
          </w14:textFill>
        </w:rPr>
        <w:t>实施研究生科研创新素质提升工程</w:t>
      </w:r>
    </w:p>
    <w:p>
      <w:pPr>
        <w:snapToGrid w:val="0"/>
        <w:spacing w:line="360" w:lineRule="auto"/>
        <w:ind w:firstLine="590"/>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发挥好风雨湖大讲堂、研究生学术沙龙等学术交流平台的作用，鼓励和支持研究生进行论文成果、案例探索等类型的学术报告和学术交流；鼓励和支持研究生申报各级各类课题、参与导师课题研究、参与学术交流、参与社会服务，支持研究生发表高质量论文和攻读博士学位，切实提升自身科研创新能力。以湖南省MBA企业案例大赛、湖南省MPAcc企业案例大赛、</w:t>
      </w:r>
      <w:r>
        <w:rPr>
          <w:rFonts w:hint="eastAsia" w:ascii="仿宋" w:hAnsi="仿宋" w:eastAsia="仿宋" w:cs="宋体"/>
          <w:color w:val="000000" w:themeColor="text1"/>
          <w:sz w:val="28"/>
          <w:szCs w:val="28"/>
          <w:lang w:val="en-US" w:eastAsia="zh-CN"/>
          <w14:textFill>
            <w14:solidFill>
              <w14:schemeClr w14:val="tx1"/>
            </w14:solidFill>
          </w14:textFill>
        </w:rPr>
        <w:t>湖南省金融案例大赛、</w:t>
      </w:r>
      <w:r>
        <w:rPr>
          <w:rFonts w:hint="eastAsia" w:ascii="仿宋" w:hAnsi="仿宋" w:eastAsia="仿宋" w:cs="宋体"/>
          <w:color w:val="000000" w:themeColor="text1"/>
          <w:sz w:val="28"/>
          <w:szCs w:val="28"/>
          <w14:textFill>
            <w14:solidFill>
              <w14:schemeClr w14:val="tx1"/>
            </w14:solidFill>
          </w14:textFill>
        </w:rPr>
        <w:t>研究生数学建模竞赛、全国大学生市场调查与分析大赛等项目为基础，切实发挥导师的积极性，以赛促学，持续推进研究生学科竞赛项目质量提升。</w:t>
      </w:r>
    </w:p>
    <w:p>
      <w:pPr>
        <w:snapToGrid w:val="0"/>
        <w:spacing w:line="360" w:lineRule="auto"/>
        <w:ind w:firstLine="590"/>
        <w:rPr>
          <w:rFonts w:hint="default" w:ascii="仿宋" w:hAnsi="仿宋" w:eastAsia="仿宋" w:cs="宋体"/>
          <w:b/>
          <w:bCs/>
          <w:color w:val="000000" w:themeColor="text1"/>
          <w:sz w:val="30"/>
          <w:szCs w:val="30"/>
          <w:lang w:val="en-US" w:eastAsia="zh-CN"/>
          <w14:textFill>
            <w14:solidFill>
              <w14:schemeClr w14:val="tx1"/>
            </w14:solidFill>
          </w14:textFill>
        </w:rPr>
      </w:pPr>
      <w:r>
        <w:rPr>
          <w:rFonts w:hint="eastAsia" w:ascii="仿宋" w:hAnsi="仿宋" w:eastAsia="仿宋" w:cs="宋体"/>
          <w:b/>
          <w:bCs/>
          <w:color w:val="000000" w:themeColor="text1"/>
          <w:sz w:val="30"/>
          <w:szCs w:val="30"/>
          <w:lang w:val="en-US" w:eastAsia="zh-CN"/>
          <w14:textFill>
            <w14:solidFill>
              <w14:schemeClr w14:val="tx1"/>
            </w14:solidFill>
          </w14:textFill>
        </w:rPr>
        <w:t>5.进一步</w:t>
      </w:r>
      <w:r>
        <w:rPr>
          <w:rFonts w:hint="eastAsia" w:ascii="仿宋" w:hAnsi="仿宋" w:eastAsia="仿宋" w:cs="宋体"/>
          <w:b/>
          <w:bCs/>
          <w:color w:val="000000" w:themeColor="text1"/>
          <w:sz w:val="30"/>
          <w:szCs w:val="30"/>
          <w14:textFill>
            <w14:solidFill>
              <w14:schemeClr w14:val="tx1"/>
            </w14:solidFill>
          </w14:textFill>
        </w:rPr>
        <w:t>创新研究生教育管理机制</w:t>
      </w:r>
      <w:r>
        <w:rPr>
          <w:rFonts w:hint="eastAsia" w:ascii="仿宋" w:hAnsi="仿宋" w:eastAsia="仿宋" w:cs="宋体"/>
          <w:b/>
          <w:bCs/>
          <w:color w:val="000000" w:themeColor="text1"/>
          <w:sz w:val="30"/>
          <w:szCs w:val="30"/>
          <w:lang w:eastAsia="zh-CN"/>
          <w14:textFill>
            <w14:solidFill>
              <w14:schemeClr w14:val="tx1"/>
            </w14:solidFill>
          </w14:textFill>
        </w:rPr>
        <w:t>，</w:t>
      </w:r>
      <w:r>
        <w:rPr>
          <w:rFonts w:hint="eastAsia" w:ascii="仿宋" w:hAnsi="仿宋" w:eastAsia="仿宋" w:cs="宋体"/>
          <w:b/>
          <w:bCs/>
          <w:color w:val="000000" w:themeColor="text1"/>
          <w:sz w:val="30"/>
          <w:szCs w:val="30"/>
          <w:lang w:val="en-US" w:eastAsia="zh-CN"/>
          <w14:textFill>
            <w14:solidFill>
              <w14:schemeClr w14:val="tx1"/>
            </w14:solidFill>
          </w14:textFill>
        </w:rPr>
        <w:t>提高研究生培养质量</w:t>
      </w:r>
    </w:p>
    <w:p>
      <w:pPr>
        <w:snapToGrid w:val="0"/>
        <w:spacing w:line="360" w:lineRule="auto"/>
        <w:ind w:firstLine="590"/>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进一步理顺</w:t>
      </w:r>
      <w:r>
        <w:rPr>
          <w:rFonts w:hint="eastAsia" w:ascii="仿宋" w:hAnsi="仿宋" w:eastAsia="仿宋" w:cs="宋体"/>
          <w:color w:val="000000" w:themeColor="text1"/>
          <w:sz w:val="28"/>
          <w:szCs w:val="28"/>
          <w14:textFill>
            <w14:solidFill>
              <w14:schemeClr w14:val="tx1"/>
            </w14:solidFill>
          </w14:textFill>
        </w:rPr>
        <w:t>学院党委、行政、导师等主体的协同作用，加强研究生思想政治</w:t>
      </w:r>
      <w:r>
        <w:rPr>
          <w:rFonts w:hint="eastAsia" w:ascii="仿宋" w:hAnsi="仿宋" w:eastAsia="仿宋" w:cs="宋体"/>
          <w:color w:val="000000" w:themeColor="text1"/>
          <w:sz w:val="28"/>
          <w:szCs w:val="28"/>
          <w:lang w:val="en-US" w:eastAsia="zh-CN"/>
          <w14:textFill>
            <w14:solidFill>
              <w14:schemeClr w14:val="tx1"/>
            </w14:solidFill>
          </w14:textFill>
        </w:rPr>
        <w:t>与专业培养</w:t>
      </w:r>
      <w:r>
        <w:rPr>
          <w:rFonts w:hint="eastAsia" w:ascii="仿宋" w:hAnsi="仿宋" w:eastAsia="仿宋" w:cs="宋体"/>
          <w:color w:val="000000" w:themeColor="text1"/>
          <w:sz w:val="28"/>
          <w:szCs w:val="28"/>
          <w14:textFill>
            <w14:solidFill>
              <w14:schemeClr w14:val="tx1"/>
            </w14:solidFill>
          </w14:textFill>
        </w:rPr>
        <w:t>教育。不断优化研究生教育管理的流程，做好研究生培养和管理各环节的质量控制</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lang w:val="en-US" w:eastAsia="zh-CN"/>
          <w14:textFill>
            <w14:solidFill>
              <w14:schemeClr w14:val="tx1"/>
            </w14:solidFill>
          </w14:textFill>
        </w:rPr>
        <w:t>通过定期开展行政管理人员、导师、班委、研究生的相关会议，至少一个月开一次研究生培养教育管理大会，梳理本月的主要工作，并对上一个月的工作进行总结；同时通过定期开导师会议可以加强导师责任制的实行，把握好研究生的教育培养，定期完成培养方案学分；通过定期开班委会以便及时了解班上的动态，同时也是班级问题反馈的重要渠道；研究生会议主要是以便研究生的思想教育学习，加强研究生的理想目标和社会主义核心价值观教育。多方主体的管理机制有助于研究生培养质量与行政人员管理水平的提升。</w:t>
      </w:r>
    </w:p>
    <w:p>
      <w:pPr>
        <w:snapToGrid w:val="0"/>
        <w:spacing w:line="360" w:lineRule="auto"/>
        <w:rPr>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2E2MmEzZTJiYmJlZDM3OGVmOGUxNDBiYTg3ZTgifQ=="/>
  </w:docVars>
  <w:rsids>
    <w:rsidRoot w:val="50B15851"/>
    <w:rsid w:val="000214C6"/>
    <w:rsid w:val="00044217"/>
    <w:rsid w:val="00045518"/>
    <w:rsid w:val="00062687"/>
    <w:rsid w:val="00071760"/>
    <w:rsid w:val="000729D4"/>
    <w:rsid w:val="00072F32"/>
    <w:rsid w:val="00073915"/>
    <w:rsid w:val="00076569"/>
    <w:rsid w:val="000846FB"/>
    <w:rsid w:val="000A5AD0"/>
    <w:rsid w:val="000C2E9A"/>
    <w:rsid w:val="00147C01"/>
    <w:rsid w:val="00172A19"/>
    <w:rsid w:val="00173AE0"/>
    <w:rsid w:val="001A2025"/>
    <w:rsid w:val="001A315A"/>
    <w:rsid w:val="001A55B7"/>
    <w:rsid w:val="001B76E5"/>
    <w:rsid w:val="001E020C"/>
    <w:rsid w:val="001F6C35"/>
    <w:rsid w:val="00200CBC"/>
    <w:rsid w:val="00202AB8"/>
    <w:rsid w:val="0022561A"/>
    <w:rsid w:val="002449DA"/>
    <w:rsid w:val="002512D7"/>
    <w:rsid w:val="00264FF6"/>
    <w:rsid w:val="002846E9"/>
    <w:rsid w:val="00292AC6"/>
    <w:rsid w:val="002B3872"/>
    <w:rsid w:val="002B3DEF"/>
    <w:rsid w:val="002B56C1"/>
    <w:rsid w:val="002C3163"/>
    <w:rsid w:val="002E0247"/>
    <w:rsid w:val="002E1D6C"/>
    <w:rsid w:val="003020A1"/>
    <w:rsid w:val="0032276F"/>
    <w:rsid w:val="003957D0"/>
    <w:rsid w:val="003962DA"/>
    <w:rsid w:val="00411AC3"/>
    <w:rsid w:val="00456474"/>
    <w:rsid w:val="00482FED"/>
    <w:rsid w:val="00485AE0"/>
    <w:rsid w:val="004D381E"/>
    <w:rsid w:val="00502AFB"/>
    <w:rsid w:val="00504F12"/>
    <w:rsid w:val="005236D3"/>
    <w:rsid w:val="00553200"/>
    <w:rsid w:val="0056589C"/>
    <w:rsid w:val="0059098F"/>
    <w:rsid w:val="005B3911"/>
    <w:rsid w:val="005E145A"/>
    <w:rsid w:val="005F638B"/>
    <w:rsid w:val="005F6BDB"/>
    <w:rsid w:val="00671044"/>
    <w:rsid w:val="006A7C1C"/>
    <w:rsid w:val="006B0E0B"/>
    <w:rsid w:val="006C4D42"/>
    <w:rsid w:val="006C622D"/>
    <w:rsid w:val="006C70C6"/>
    <w:rsid w:val="006D4314"/>
    <w:rsid w:val="006F28F0"/>
    <w:rsid w:val="00742DEB"/>
    <w:rsid w:val="00753290"/>
    <w:rsid w:val="00771ED3"/>
    <w:rsid w:val="007734E6"/>
    <w:rsid w:val="007C45A1"/>
    <w:rsid w:val="007D08D0"/>
    <w:rsid w:val="007F15FC"/>
    <w:rsid w:val="0087381F"/>
    <w:rsid w:val="00874686"/>
    <w:rsid w:val="00880C36"/>
    <w:rsid w:val="00892CD1"/>
    <w:rsid w:val="00897B00"/>
    <w:rsid w:val="00920538"/>
    <w:rsid w:val="00947D2E"/>
    <w:rsid w:val="0097136B"/>
    <w:rsid w:val="00983209"/>
    <w:rsid w:val="009A39A5"/>
    <w:rsid w:val="009C3F08"/>
    <w:rsid w:val="009C7596"/>
    <w:rsid w:val="00A0605F"/>
    <w:rsid w:val="00AA7B2A"/>
    <w:rsid w:val="00AD0AFD"/>
    <w:rsid w:val="00AD7D55"/>
    <w:rsid w:val="00AE3311"/>
    <w:rsid w:val="00AF2B62"/>
    <w:rsid w:val="00B17106"/>
    <w:rsid w:val="00B21085"/>
    <w:rsid w:val="00B2422F"/>
    <w:rsid w:val="00B57A0A"/>
    <w:rsid w:val="00B7748B"/>
    <w:rsid w:val="00B81709"/>
    <w:rsid w:val="00BA5C4E"/>
    <w:rsid w:val="00BD2126"/>
    <w:rsid w:val="00C41B8E"/>
    <w:rsid w:val="00C4793F"/>
    <w:rsid w:val="00C5767A"/>
    <w:rsid w:val="00C625BD"/>
    <w:rsid w:val="00C935D7"/>
    <w:rsid w:val="00D267B4"/>
    <w:rsid w:val="00D268A4"/>
    <w:rsid w:val="00D510D0"/>
    <w:rsid w:val="00D56697"/>
    <w:rsid w:val="00D60527"/>
    <w:rsid w:val="00D71081"/>
    <w:rsid w:val="00D85070"/>
    <w:rsid w:val="00D9706E"/>
    <w:rsid w:val="00DA5E8D"/>
    <w:rsid w:val="00DB1E7E"/>
    <w:rsid w:val="00DB6342"/>
    <w:rsid w:val="00DC1A43"/>
    <w:rsid w:val="00E100B0"/>
    <w:rsid w:val="00E31583"/>
    <w:rsid w:val="00E37F8C"/>
    <w:rsid w:val="00E43198"/>
    <w:rsid w:val="00E61B5C"/>
    <w:rsid w:val="00E66F7D"/>
    <w:rsid w:val="00E735B1"/>
    <w:rsid w:val="00E80C99"/>
    <w:rsid w:val="00E86FA4"/>
    <w:rsid w:val="00E97E6A"/>
    <w:rsid w:val="00EA562B"/>
    <w:rsid w:val="00EB6C35"/>
    <w:rsid w:val="00ED3C74"/>
    <w:rsid w:val="00F23EE8"/>
    <w:rsid w:val="00F34701"/>
    <w:rsid w:val="00F35301"/>
    <w:rsid w:val="00F44ED2"/>
    <w:rsid w:val="00F80F9D"/>
    <w:rsid w:val="00FA5C1D"/>
    <w:rsid w:val="00FB49F7"/>
    <w:rsid w:val="00FD05C7"/>
    <w:rsid w:val="01DF79C5"/>
    <w:rsid w:val="04313D37"/>
    <w:rsid w:val="04FD38C5"/>
    <w:rsid w:val="06500E91"/>
    <w:rsid w:val="06AA5388"/>
    <w:rsid w:val="08557FBB"/>
    <w:rsid w:val="09C474FD"/>
    <w:rsid w:val="0A420D20"/>
    <w:rsid w:val="0BA859D4"/>
    <w:rsid w:val="0D46360A"/>
    <w:rsid w:val="0DAE0236"/>
    <w:rsid w:val="0E677826"/>
    <w:rsid w:val="12AF6F40"/>
    <w:rsid w:val="13A935BD"/>
    <w:rsid w:val="144813FA"/>
    <w:rsid w:val="145B4C97"/>
    <w:rsid w:val="157E49C7"/>
    <w:rsid w:val="15900ED2"/>
    <w:rsid w:val="1647579E"/>
    <w:rsid w:val="180C6E5D"/>
    <w:rsid w:val="19422DC9"/>
    <w:rsid w:val="1A2E26D7"/>
    <w:rsid w:val="1E8314EF"/>
    <w:rsid w:val="1EB06519"/>
    <w:rsid w:val="1F117043"/>
    <w:rsid w:val="1FB519E5"/>
    <w:rsid w:val="20455AEB"/>
    <w:rsid w:val="217C6B87"/>
    <w:rsid w:val="244A27F5"/>
    <w:rsid w:val="26372763"/>
    <w:rsid w:val="27F7652E"/>
    <w:rsid w:val="29056591"/>
    <w:rsid w:val="29707988"/>
    <w:rsid w:val="2C501851"/>
    <w:rsid w:val="2CB929F0"/>
    <w:rsid w:val="2EB316F0"/>
    <w:rsid w:val="30140919"/>
    <w:rsid w:val="31B21684"/>
    <w:rsid w:val="330C5891"/>
    <w:rsid w:val="33B46ADE"/>
    <w:rsid w:val="36F2705B"/>
    <w:rsid w:val="38082217"/>
    <w:rsid w:val="39565DC2"/>
    <w:rsid w:val="40D33D5E"/>
    <w:rsid w:val="41AC0C29"/>
    <w:rsid w:val="48D47AA4"/>
    <w:rsid w:val="49F44C5D"/>
    <w:rsid w:val="4A6D43F8"/>
    <w:rsid w:val="4A7B35D0"/>
    <w:rsid w:val="4A875AD1"/>
    <w:rsid w:val="4A987CDE"/>
    <w:rsid w:val="4F351F9F"/>
    <w:rsid w:val="4FEE7670"/>
    <w:rsid w:val="505E2487"/>
    <w:rsid w:val="50B15851"/>
    <w:rsid w:val="51024103"/>
    <w:rsid w:val="51F56E18"/>
    <w:rsid w:val="545435C2"/>
    <w:rsid w:val="5456524F"/>
    <w:rsid w:val="5707121C"/>
    <w:rsid w:val="59104463"/>
    <w:rsid w:val="594E41F4"/>
    <w:rsid w:val="5A647BDD"/>
    <w:rsid w:val="5B1A029B"/>
    <w:rsid w:val="5C0F1DCA"/>
    <w:rsid w:val="5D35760E"/>
    <w:rsid w:val="5EDA046D"/>
    <w:rsid w:val="5FDE12AF"/>
    <w:rsid w:val="61496764"/>
    <w:rsid w:val="633454C3"/>
    <w:rsid w:val="6477359A"/>
    <w:rsid w:val="65CB0B10"/>
    <w:rsid w:val="662E29E9"/>
    <w:rsid w:val="670C384C"/>
    <w:rsid w:val="6B6609EE"/>
    <w:rsid w:val="6D2042B9"/>
    <w:rsid w:val="6D861D56"/>
    <w:rsid w:val="6DAA73FE"/>
    <w:rsid w:val="6FC92F48"/>
    <w:rsid w:val="71BC5BB9"/>
    <w:rsid w:val="7769354C"/>
    <w:rsid w:val="7BAE00F8"/>
    <w:rsid w:val="7C843250"/>
    <w:rsid w:val="7CB05143"/>
    <w:rsid w:val="7DC45AE4"/>
    <w:rsid w:val="7E282B4B"/>
    <w:rsid w:val="7FB0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unhideWhenUsed/>
    <w:qFormat/>
    <w:uiPriority w:val="99"/>
    <w:pPr>
      <w:spacing w:after="120"/>
      <w:ind w:left="420" w:leftChars="200"/>
    </w:pPr>
  </w:style>
  <w:style w:type="paragraph" w:styleId="8">
    <w:name w:val="toc 3"/>
    <w:basedOn w:val="1"/>
    <w:next w:val="1"/>
    <w:autoRedefine/>
    <w:qFormat/>
    <w:uiPriority w:val="39"/>
    <w:pPr>
      <w:ind w:left="840" w:leftChars="4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Body Text First Indent 2"/>
    <w:basedOn w:val="7"/>
    <w:autoRedefine/>
    <w:unhideWhenUsed/>
    <w:qFormat/>
    <w:uiPriority w:val="99"/>
    <w:pPr>
      <w:ind w:firstLine="420"/>
    </w:pPr>
  </w:style>
  <w:style w:type="character" w:styleId="16">
    <w:name w:val="Strong"/>
    <w:basedOn w:val="15"/>
    <w:autoRedefine/>
    <w:qFormat/>
    <w:uiPriority w:val="22"/>
    <w:rPr>
      <w:b/>
      <w:bCs/>
    </w:rPr>
  </w:style>
  <w:style w:type="character" w:styleId="17">
    <w:name w:val="Hyperlink"/>
    <w:basedOn w:val="15"/>
    <w:autoRedefine/>
    <w:unhideWhenUsed/>
    <w:qFormat/>
    <w:uiPriority w:val="99"/>
    <w:rPr>
      <w:color w:val="0563C1" w:themeColor="hyperlink"/>
      <w:u w:val="single"/>
      <w14:textFill>
        <w14:solidFill>
          <w14:schemeClr w14:val="hlink"/>
        </w14:solidFill>
      </w14:textFill>
    </w:rPr>
  </w:style>
  <w:style w:type="character" w:customStyle="1" w:styleId="18">
    <w:name w:val="font01"/>
    <w:basedOn w:val="15"/>
    <w:autoRedefine/>
    <w:qFormat/>
    <w:uiPriority w:val="0"/>
    <w:rPr>
      <w:rFonts w:hint="eastAsia" w:ascii="宋体" w:hAnsi="宋体" w:eastAsia="宋体" w:cs="宋体"/>
      <w:color w:val="000000"/>
      <w:sz w:val="22"/>
      <w:szCs w:val="22"/>
      <w:u w:val="none"/>
    </w:rPr>
  </w:style>
  <w:style w:type="character" w:customStyle="1" w:styleId="19">
    <w:name w:val="font21"/>
    <w:basedOn w:val="15"/>
    <w:autoRedefine/>
    <w:qFormat/>
    <w:uiPriority w:val="0"/>
    <w:rPr>
      <w:rFonts w:hint="default" w:ascii="Times New Roman" w:hAnsi="Times New Roman" w:cs="Times New Roman"/>
      <w:color w:val="000000"/>
      <w:sz w:val="22"/>
      <w:szCs w:val="22"/>
      <w:u w:val="none"/>
    </w:rPr>
  </w:style>
  <w:style w:type="character" w:customStyle="1" w:styleId="20">
    <w:name w:val="font41"/>
    <w:basedOn w:val="15"/>
    <w:autoRedefine/>
    <w:qFormat/>
    <w:uiPriority w:val="0"/>
    <w:rPr>
      <w:rFonts w:hint="eastAsia" w:ascii="宋体" w:hAnsi="宋体" w:eastAsia="宋体" w:cs="宋体"/>
      <w:color w:val="000000"/>
      <w:sz w:val="22"/>
      <w:szCs w:val="22"/>
      <w:u w:val="none"/>
    </w:rPr>
  </w:style>
  <w:style w:type="character" w:customStyle="1" w:styleId="21">
    <w:name w:val="font81"/>
    <w:basedOn w:val="15"/>
    <w:autoRedefine/>
    <w:qFormat/>
    <w:uiPriority w:val="0"/>
    <w:rPr>
      <w:rFonts w:hint="eastAsia" w:ascii="宋体" w:hAnsi="宋体" w:eastAsia="宋体" w:cs="宋体"/>
      <w:color w:val="000000"/>
      <w:sz w:val="22"/>
      <w:szCs w:val="22"/>
      <w:u w:val="none"/>
    </w:rPr>
  </w:style>
  <w:style w:type="character" w:customStyle="1" w:styleId="22">
    <w:name w:val="font61"/>
    <w:basedOn w:val="15"/>
    <w:autoRedefine/>
    <w:qFormat/>
    <w:uiPriority w:val="0"/>
    <w:rPr>
      <w:rFonts w:hint="default" w:ascii="Times New Roman" w:hAnsi="Times New Roman" w:cs="Times New Roman"/>
      <w:color w:val="000000"/>
      <w:sz w:val="22"/>
      <w:szCs w:val="22"/>
      <w:u w:val="none"/>
    </w:rPr>
  </w:style>
  <w:style w:type="character" w:customStyle="1" w:styleId="23">
    <w:name w:val="标题 2 字符"/>
    <w:basedOn w:val="15"/>
    <w:link w:val="3"/>
    <w:autoRedefine/>
    <w:qFormat/>
    <w:uiPriority w:val="0"/>
    <w:rPr>
      <w:rFonts w:asciiTheme="majorHAnsi" w:hAnsiTheme="majorHAnsi" w:eastAsiaTheme="majorEastAsia" w:cstheme="majorBidi"/>
      <w:b/>
      <w:bCs/>
      <w:kern w:val="2"/>
      <w:sz w:val="32"/>
      <w:szCs w:val="32"/>
    </w:rPr>
  </w:style>
  <w:style w:type="character" w:customStyle="1" w:styleId="24">
    <w:name w:val="标题 3 字符"/>
    <w:basedOn w:val="15"/>
    <w:link w:val="4"/>
    <w:autoRedefine/>
    <w:qFormat/>
    <w:uiPriority w:val="0"/>
    <w:rPr>
      <w:b/>
      <w:bCs/>
      <w:kern w:val="2"/>
      <w:sz w:val="32"/>
      <w:szCs w:val="32"/>
    </w:rPr>
  </w:style>
  <w:style w:type="character" w:customStyle="1" w:styleId="25">
    <w:name w:val="标题 1 字符"/>
    <w:basedOn w:val="15"/>
    <w:link w:val="2"/>
    <w:autoRedefine/>
    <w:qFormat/>
    <w:uiPriority w:val="0"/>
    <w:rPr>
      <w:b/>
      <w:bCs/>
      <w:kern w:val="44"/>
      <w:sz w:val="44"/>
      <w:szCs w:val="44"/>
    </w:rPr>
  </w:style>
  <w:style w:type="paragraph" w:customStyle="1" w:styleId="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7">
    <w:name w:val="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
    <w:name w:val="font11"/>
    <w:basedOn w:val="15"/>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9E2D-DE63-4C06-92A0-47EB5280D80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12625</Words>
  <Characters>13871</Characters>
  <Lines>116</Lines>
  <Paragraphs>32</Paragraphs>
  <TotalTime>6</TotalTime>
  <ScaleCrop>false</ScaleCrop>
  <LinksUpToDate>false</LinksUpToDate>
  <CharactersWithSpaces>14026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2021-03-01T01:13:00Z</dcterms:created>
  <dc:creator>wulala</dc:creator>
  <cp:lastModifiedBy>zouzou</cp:lastModifiedBy>
  <dcterms:modified xsi:type="dcterms:W3CDTF">2024-01-04T14:22:03Z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2021230BD5B34189ABC5B265C8C0A9CD</vt:lpwstr>
  </property>
</Properties>
</file>