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65"/>
        </w:tabs>
        <w:rPr>
          <w:rFonts w:ascii="仿宋_GB2312" w:eastAsia="仿宋_GB2312"/>
          <w:sz w:val="32"/>
          <w:szCs w:val="32"/>
        </w:rPr>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column">
              <wp:posOffset>2014855</wp:posOffset>
            </wp:positionH>
            <wp:positionV relativeFrom="paragraph">
              <wp:posOffset>283845</wp:posOffset>
            </wp:positionV>
            <wp:extent cx="2514600" cy="848995"/>
            <wp:effectExtent l="0" t="0" r="0" b="8255"/>
            <wp:wrapNone/>
            <wp:docPr id="2" name="图片 2" descr="彩色校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彩色校徵"/>
                    <pic:cNvPicPr>
                      <a:picLocks noChangeAspect="1"/>
                    </pic:cNvPicPr>
                  </pic:nvPicPr>
                  <pic:blipFill>
                    <a:blip r:embed="rId4"/>
                    <a:srcRect t="60800"/>
                    <a:stretch>
                      <a:fillRect/>
                    </a:stretch>
                  </pic:blipFill>
                  <pic:spPr>
                    <a:xfrm>
                      <a:off x="0" y="0"/>
                      <a:ext cx="2514600" cy="848995"/>
                    </a:xfrm>
                    <a:prstGeom prst="rect">
                      <a:avLst/>
                    </a:prstGeom>
                    <a:noFill/>
                    <a:ln>
                      <a:noFill/>
                    </a:ln>
                  </pic:spPr>
                </pic:pic>
              </a:graphicData>
            </a:graphic>
          </wp:anchor>
        </w:drawing>
      </w:r>
      <w:r>
        <w:rPr>
          <w:rFonts w:hint="eastAsia" w:ascii="仿宋_GB2312" w:eastAsia="仿宋_GB2312"/>
          <w:sz w:val="32"/>
          <w:szCs w:val="32"/>
        </w:rPr>
        <w:drawing>
          <wp:inline distT="0" distB="0" distL="114300" distR="114300">
            <wp:extent cx="1421130" cy="1327785"/>
            <wp:effectExtent l="0" t="0" r="7620" b="5715"/>
            <wp:docPr id="1" name="图片 1" descr="彩色校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彩色校徵"/>
                    <pic:cNvPicPr>
                      <a:picLocks noChangeAspect="1"/>
                    </pic:cNvPicPr>
                  </pic:nvPicPr>
                  <pic:blipFill>
                    <a:blip r:embed="rId4"/>
                    <a:srcRect l="20328" r="22957" b="38481"/>
                    <a:stretch>
                      <a:fillRect/>
                    </a:stretch>
                  </pic:blipFill>
                  <pic:spPr>
                    <a:xfrm>
                      <a:off x="0" y="0"/>
                      <a:ext cx="1421130" cy="1327785"/>
                    </a:xfrm>
                    <a:prstGeom prst="rect">
                      <a:avLst/>
                    </a:prstGeom>
                    <a:noFill/>
                    <a:ln>
                      <a:noFill/>
                    </a:ln>
                  </pic:spPr>
                </pic:pic>
              </a:graphicData>
            </a:graphic>
          </wp:inline>
        </w:drawing>
      </w:r>
    </w:p>
    <w:p>
      <w:pPr>
        <w:tabs>
          <w:tab w:val="left" w:pos="7665"/>
        </w:tabs>
        <w:ind w:left="3680" w:right="736" w:hanging="3680" w:hangingChars="115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p>
    <w:p>
      <w:pPr>
        <w:spacing w:line="120" w:lineRule="auto"/>
        <w:jc w:val="center"/>
        <w:rPr>
          <w:rFonts w:ascii="华文行楷" w:hAnsi="华文行楷" w:eastAsia="华文行楷" w:cs="华文行楷"/>
          <w:bCs/>
          <w:sz w:val="72"/>
          <w:szCs w:val="72"/>
        </w:rPr>
      </w:pPr>
      <w:r>
        <w:rPr>
          <w:rFonts w:hint="eastAsia" w:ascii="华文行楷" w:hAnsi="华文行楷" w:eastAsia="华文行楷" w:cs="华文行楷"/>
          <w:bCs/>
          <w:sz w:val="72"/>
          <w:szCs w:val="72"/>
        </w:rPr>
        <w:t>学位授权点建设年度报告</w:t>
      </w:r>
    </w:p>
    <w:p>
      <w:pPr>
        <w:spacing w:line="120" w:lineRule="auto"/>
        <w:jc w:val="center"/>
        <w:rPr>
          <w:rFonts w:ascii="华文行楷" w:hAnsi="华文行楷" w:eastAsia="华文行楷" w:cs="华文行楷"/>
          <w:bCs/>
          <w:sz w:val="72"/>
          <w:szCs w:val="72"/>
        </w:rPr>
      </w:pPr>
      <w:r>
        <w:rPr>
          <w:rFonts w:hint="eastAsia" w:ascii="华文楷体" w:hAnsi="华文楷体" w:eastAsia="华文楷体" w:cs="华文楷体"/>
          <w:bCs/>
          <w:sz w:val="72"/>
          <w:szCs w:val="72"/>
        </w:rPr>
        <w:t>（</w:t>
      </w:r>
      <w:r>
        <w:rPr>
          <w:rFonts w:eastAsia="华文楷体"/>
          <w:bCs/>
          <w:sz w:val="72"/>
          <w:szCs w:val="72"/>
        </w:rPr>
        <w:t>202</w:t>
      </w:r>
      <w:r>
        <w:rPr>
          <w:rFonts w:hint="eastAsia" w:eastAsia="华文楷体"/>
          <w:bCs/>
          <w:sz w:val="72"/>
          <w:szCs w:val="72"/>
          <w:lang w:val="en-US" w:eastAsia="zh-CN"/>
        </w:rPr>
        <w:t>3</w:t>
      </w:r>
      <w:r>
        <w:rPr>
          <w:rFonts w:hint="eastAsia" w:ascii="华文楷体" w:hAnsi="华文楷体" w:eastAsia="华文楷体" w:cs="华文楷体"/>
          <w:bCs/>
          <w:sz w:val="72"/>
          <w:szCs w:val="72"/>
        </w:rPr>
        <w:t>）</w:t>
      </w:r>
    </w:p>
    <w:tbl>
      <w:tblPr>
        <w:tblStyle w:val="14"/>
        <w:tblpPr w:leftFromText="180" w:rightFromText="180" w:vertAnchor="text" w:horzAnchor="page" w:tblpX="3692" w:tblpY="157"/>
        <w:tblOverlap w:val="never"/>
        <w:tblW w:w="5040"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spacing w:line="360" w:lineRule="auto"/>
              <w:jc w:val="right"/>
              <w:rPr>
                <w:rFonts w:ascii="仿宋" w:hAnsi="仿宋" w:eastAsia="仿宋" w:cs="仿宋"/>
                <w:sz w:val="32"/>
                <w:szCs w:val="32"/>
              </w:rPr>
            </w:pPr>
            <w:r>
              <w:rPr>
                <w:rFonts w:hint="eastAsia" w:ascii="仿宋" w:hAnsi="仿宋" w:eastAsia="仿宋" w:cs="仿宋"/>
                <w:sz w:val="32"/>
                <w:szCs w:val="32"/>
              </w:rPr>
              <w:t>学位授予单位</w:t>
            </w:r>
          </w:p>
        </w:tc>
        <w:tc>
          <w:tcPr>
            <w:tcW w:w="2880" w:type="dxa"/>
            <w:tcBorders>
              <w:bottom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t>名称：吉首大学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spacing w:line="360" w:lineRule="auto"/>
              <w:jc w:val="center"/>
              <w:rPr>
                <w:rFonts w:ascii="仿宋" w:hAnsi="仿宋" w:eastAsia="仿宋" w:cs="仿宋"/>
                <w:sz w:val="32"/>
                <w:szCs w:val="32"/>
              </w:rPr>
            </w:pPr>
          </w:p>
        </w:tc>
        <w:tc>
          <w:tcPr>
            <w:tcW w:w="2880" w:type="dxa"/>
            <w:tcBorders>
              <w:top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t>代码：</w:t>
            </w:r>
            <w:r>
              <w:rPr>
                <w:rFonts w:eastAsia="仿宋"/>
                <w:sz w:val="32"/>
                <w:szCs w:val="32"/>
              </w:rPr>
              <w:t>10531</w:t>
            </w:r>
          </w:p>
        </w:tc>
      </w:tr>
    </w:tbl>
    <w:p>
      <w:pPr>
        <w:widowControl/>
        <w:spacing w:before="468" w:beforeLines="150" w:afterAutospacing="1"/>
        <w:ind w:firstLine="1374" w:firstLineChars="300"/>
        <w:rPr>
          <w:rFonts w:ascii="仿宋" w:hAnsi="仿宋" w:eastAsia="仿宋" w:cs="仿宋"/>
          <w:spacing w:val="69"/>
          <w:kern w:val="0"/>
          <w:position w:val="-15"/>
          <w:sz w:val="32"/>
          <w:szCs w:val="32"/>
          <w:lang w:bidi="ar"/>
        </w:rPr>
      </w:pPr>
    </w:p>
    <w:tbl>
      <w:tblPr>
        <w:tblStyle w:val="14"/>
        <w:tblpPr w:leftFromText="180" w:rightFromText="180" w:vertAnchor="text" w:horzAnchor="page" w:tblpX="3715" w:tblpY="873"/>
        <w:tblOverlap w:val="never"/>
        <w:tblW w:w="5040"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spacing w:line="360" w:lineRule="auto"/>
              <w:jc w:val="right"/>
              <w:rPr>
                <w:rFonts w:ascii="仿宋" w:hAnsi="仿宋" w:eastAsia="仿宋" w:cs="仿宋"/>
                <w:sz w:val="32"/>
                <w:szCs w:val="32"/>
              </w:rPr>
            </w:pPr>
            <w:r>
              <w:rPr>
                <w:rFonts w:hint="eastAsia" w:ascii="仿宋" w:hAnsi="仿宋" w:eastAsia="仿宋" w:cs="仿宋"/>
                <w:sz w:val="32"/>
                <w:szCs w:val="32"/>
              </w:rPr>
              <w:t xml:space="preserve">授 权 学 科 </w:t>
            </w:r>
          </w:p>
        </w:tc>
        <w:tc>
          <w:tcPr>
            <w:tcW w:w="2880" w:type="dxa"/>
            <w:tcBorders>
              <w:bottom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t xml:space="preserve">名称：应用经济学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spacing w:line="360" w:lineRule="auto"/>
              <w:jc w:val="center"/>
              <w:rPr>
                <w:rFonts w:ascii="仿宋" w:hAnsi="仿宋" w:eastAsia="仿宋" w:cs="仿宋"/>
                <w:sz w:val="32"/>
                <w:szCs w:val="32"/>
              </w:rPr>
            </w:pPr>
          </w:p>
        </w:tc>
        <w:tc>
          <w:tcPr>
            <w:tcW w:w="2880" w:type="dxa"/>
            <w:tcBorders>
              <w:top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t>代码： 0202</w:t>
            </w:r>
          </w:p>
        </w:tc>
      </w:tr>
    </w:tbl>
    <w:p>
      <w:pPr>
        <w:widowControl/>
        <w:spacing w:before="468" w:beforeLines="150" w:afterAutospacing="1"/>
        <w:ind w:firstLine="1374" w:firstLineChars="300"/>
        <w:rPr>
          <w:rFonts w:ascii="仿宋" w:hAnsi="仿宋" w:eastAsia="仿宋" w:cs="仿宋"/>
          <w:spacing w:val="69"/>
          <w:kern w:val="0"/>
          <w:position w:val="-15"/>
          <w:sz w:val="32"/>
          <w:szCs w:val="32"/>
          <w:lang w:bidi="ar"/>
        </w:rPr>
      </w:pPr>
    </w:p>
    <w:p>
      <w:pPr>
        <w:widowControl/>
        <w:spacing w:before="249" w:beforeLines="80" w:afterAutospacing="1"/>
        <w:ind w:firstLine="1374" w:firstLineChars="300"/>
        <w:jc w:val="left"/>
        <w:rPr>
          <w:rFonts w:ascii="仿宋" w:hAnsi="仿宋" w:eastAsia="仿宋" w:cs="仿宋"/>
          <w:spacing w:val="69"/>
          <w:kern w:val="0"/>
          <w:position w:val="-15"/>
          <w:sz w:val="32"/>
          <w:szCs w:val="32"/>
          <w:lang w:bidi="ar"/>
        </w:rPr>
      </w:pPr>
    </w:p>
    <w:p>
      <w:pPr>
        <w:widowControl/>
        <w:spacing w:before="249" w:beforeLines="80" w:afterAutospacing="1"/>
        <w:ind w:firstLine="1374" w:firstLineChars="300"/>
        <w:jc w:val="left"/>
        <w:rPr>
          <w:rFonts w:ascii="仿宋" w:hAnsi="仿宋" w:eastAsia="仿宋" w:cs="仿宋"/>
          <w:spacing w:val="69"/>
          <w:kern w:val="0"/>
          <w:position w:val="-15"/>
          <w:sz w:val="32"/>
          <w:szCs w:val="32"/>
          <w:lang w:bidi="ar"/>
        </w:rPr>
      </w:pPr>
    </w:p>
    <w:tbl>
      <w:tblPr>
        <w:tblStyle w:val="14"/>
        <w:tblpPr w:leftFromText="180" w:rightFromText="180" w:vertAnchor="text" w:horzAnchor="page" w:tblpX="3670" w:tblpY="36"/>
        <w:tblOverlap w:val="never"/>
        <w:tblW w:w="5040"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c>
          <w:tcPr>
            <w:tcW w:w="2160" w:type="dxa"/>
            <w:vMerge w:val="restart"/>
            <w:vAlign w:val="center"/>
          </w:tcPr>
          <w:p>
            <w:pPr>
              <w:spacing w:line="360" w:lineRule="auto"/>
              <w:jc w:val="right"/>
              <w:rPr>
                <w:rFonts w:ascii="仿宋" w:hAnsi="仿宋" w:eastAsia="仿宋" w:cs="仿宋"/>
                <w:sz w:val="32"/>
                <w:szCs w:val="32"/>
              </w:rPr>
            </w:pPr>
            <w:r>
              <w:rPr>
                <w:rFonts w:hint="eastAsia" w:ascii="仿宋" w:hAnsi="仿宋" w:eastAsia="仿宋" w:cs="仿宋"/>
                <w:sz w:val="32"/>
                <w:szCs w:val="32"/>
              </w:rPr>
              <w:t xml:space="preserve">授 权 级 别 </w:t>
            </w:r>
          </w:p>
        </w:tc>
        <w:tc>
          <w:tcPr>
            <w:tcW w:w="2880" w:type="dxa"/>
            <w:tcBorders>
              <w:bottom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pacing w:val="69"/>
                <w:kern w:val="0"/>
                <w:position w:val="-15"/>
                <w:sz w:val="32"/>
                <w:szCs w:val="32"/>
                <w:lang w:bidi="ar"/>
              </w:rPr>
              <w:sym w:font="Wingdings 2" w:char="00A3"/>
            </w:r>
            <w:r>
              <w:rPr>
                <w:rFonts w:hint="eastAsia" w:ascii="仿宋" w:hAnsi="仿宋" w:eastAsia="仿宋" w:cs="仿宋"/>
                <w:spacing w:val="69"/>
                <w:kern w:val="0"/>
                <w:position w:val="-15"/>
                <w:sz w:val="32"/>
                <w:szCs w:val="32"/>
                <w:lang w:bidi="ar"/>
              </w:rPr>
              <w:t>博士</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spacing w:line="360" w:lineRule="auto"/>
              <w:jc w:val="center"/>
              <w:rPr>
                <w:rFonts w:ascii="仿宋" w:hAnsi="仿宋" w:eastAsia="仿宋" w:cs="仿宋"/>
                <w:sz w:val="32"/>
                <w:szCs w:val="32"/>
              </w:rPr>
            </w:pPr>
          </w:p>
        </w:tc>
        <w:tc>
          <w:tcPr>
            <w:tcW w:w="2880" w:type="dxa"/>
            <w:tcBorders>
              <w:top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sym w:font="Wingdings 2" w:char="0052"/>
            </w:r>
            <w:r>
              <w:rPr>
                <w:rFonts w:hint="eastAsia" w:ascii="仿宋" w:hAnsi="仿宋" w:eastAsia="仿宋" w:cs="仿宋"/>
                <w:sz w:val="32"/>
                <w:szCs w:val="32"/>
              </w:rPr>
              <w:t xml:space="preserve">硕 士 </w:t>
            </w:r>
          </w:p>
        </w:tc>
      </w:tr>
    </w:tbl>
    <w:p>
      <w:pPr>
        <w:widowControl/>
        <w:spacing w:before="249" w:beforeLines="80" w:afterAutospacing="1"/>
        <w:ind w:firstLine="1374" w:firstLineChars="300"/>
        <w:jc w:val="left"/>
        <w:rPr>
          <w:rFonts w:ascii="仿宋" w:hAnsi="仿宋" w:eastAsia="仿宋" w:cs="仿宋"/>
          <w:spacing w:val="69"/>
          <w:kern w:val="0"/>
          <w:position w:val="-15"/>
          <w:sz w:val="32"/>
          <w:szCs w:val="32"/>
          <w:lang w:bidi="ar"/>
        </w:rPr>
      </w:pPr>
    </w:p>
    <w:p>
      <w:pPr>
        <w:widowControl/>
        <w:spacing w:before="249" w:beforeLines="80" w:afterAutospacing="1"/>
        <w:ind w:firstLine="1374" w:firstLineChars="300"/>
        <w:jc w:val="left"/>
        <w:rPr>
          <w:rFonts w:ascii="仿宋" w:hAnsi="仿宋" w:eastAsia="仿宋" w:cs="仿宋"/>
          <w:spacing w:val="69"/>
          <w:kern w:val="0"/>
          <w:position w:val="-15"/>
          <w:sz w:val="32"/>
          <w:szCs w:val="32"/>
          <w:lang w:bidi="ar"/>
        </w:rPr>
      </w:pPr>
    </w:p>
    <w:p>
      <w:pPr>
        <w:widowControl/>
        <w:spacing w:before="243" w:afterAutospacing="1"/>
        <w:ind w:firstLine="2880" w:firstLineChars="900"/>
        <w:jc w:val="left"/>
        <w:rPr>
          <w:rFonts w:ascii="仿宋" w:hAnsi="仿宋" w:eastAsia="仿宋" w:cs="仿宋"/>
          <w:kern w:val="0"/>
          <w:sz w:val="32"/>
          <w:szCs w:val="32"/>
        </w:rPr>
      </w:pPr>
    </w:p>
    <w:p>
      <w:pPr>
        <w:widowControl/>
        <w:spacing w:before="298" w:afterAutospacing="1"/>
        <w:ind w:firstLine="3047"/>
        <w:jc w:val="left"/>
        <w:rPr>
          <w:rFonts w:ascii="仿宋" w:hAnsi="仿宋" w:eastAsia="仿宋" w:cs="仿宋"/>
          <w:kern w:val="0"/>
          <w:sz w:val="32"/>
          <w:szCs w:val="32"/>
        </w:rPr>
      </w:pPr>
      <w:r>
        <w:rPr>
          <w:rFonts w:eastAsia="仿宋"/>
          <w:spacing w:val="-11"/>
          <w:kern w:val="0"/>
          <w:sz w:val="32"/>
          <w:szCs w:val="32"/>
          <w:lang w:bidi="ar"/>
        </w:rPr>
        <w:t>202</w:t>
      </w:r>
      <w:r>
        <w:rPr>
          <w:rFonts w:hint="eastAsia" w:eastAsia="仿宋"/>
          <w:spacing w:val="-11"/>
          <w:kern w:val="0"/>
          <w:sz w:val="32"/>
          <w:szCs w:val="32"/>
          <w:lang w:val="en-US" w:eastAsia="zh-CN" w:bidi="ar"/>
        </w:rPr>
        <w:t>3</w:t>
      </w:r>
      <w:r>
        <w:rPr>
          <w:rFonts w:hint="eastAsia" w:ascii="仿宋" w:hAnsi="仿宋" w:eastAsia="仿宋" w:cs="仿宋"/>
          <w:spacing w:val="-11"/>
          <w:kern w:val="0"/>
          <w:sz w:val="32"/>
          <w:szCs w:val="32"/>
          <w:lang w:bidi="ar"/>
        </w:rPr>
        <w:t>年</w:t>
      </w:r>
      <w:r>
        <w:rPr>
          <w:rFonts w:eastAsia="仿宋"/>
          <w:spacing w:val="-11"/>
          <w:kern w:val="0"/>
          <w:sz w:val="32"/>
          <w:szCs w:val="32"/>
          <w:lang w:bidi="ar"/>
        </w:rPr>
        <w:t>12月3</w:t>
      </w:r>
      <w:r>
        <w:rPr>
          <w:rFonts w:hint="eastAsia" w:eastAsia="仿宋"/>
          <w:spacing w:val="-11"/>
          <w:kern w:val="0"/>
          <w:sz w:val="32"/>
          <w:szCs w:val="32"/>
          <w:lang w:bidi="ar"/>
        </w:rPr>
        <w:t>1</w:t>
      </w:r>
      <w:r>
        <w:rPr>
          <w:rFonts w:hint="eastAsia" w:ascii="仿宋" w:hAnsi="仿宋" w:eastAsia="仿宋" w:cs="仿宋"/>
          <w:spacing w:val="-11"/>
          <w:kern w:val="0"/>
          <w:sz w:val="32"/>
          <w:szCs w:val="32"/>
          <w:lang w:bidi="ar"/>
        </w:rPr>
        <w:t>日</w:t>
      </w:r>
    </w:p>
    <w:p>
      <w:pPr>
        <w:pStyle w:val="13"/>
      </w:pPr>
      <w:bookmarkStart w:id="0" w:name="_Hlk92203899"/>
    </w:p>
    <w:bookmarkEnd w:id="0"/>
    <w:sdt>
      <w:sdtPr>
        <w:rPr>
          <w:lang w:val="zh-CN"/>
        </w:rPr>
        <w:id w:val="-800767083"/>
        <w:docPartObj>
          <w:docPartGallery w:val="Table of Contents"/>
          <w:docPartUnique/>
        </w:docPartObj>
      </w:sdtPr>
      <w:sdtEndPr>
        <w:rPr>
          <w:b/>
          <w:bCs/>
          <w:lang w:val="zh-CN"/>
        </w:rPr>
      </w:sdtEndPr>
      <w:sdtContent>
        <w:p>
          <w:pPr>
            <w:spacing w:before="312" w:beforeLines="100" w:after="312" w:afterLines="100"/>
            <w:jc w:val="center"/>
            <w:rPr>
              <w:rFonts w:ascii="黑体" w:hAnsi="黑体" w:eastAsia="黑体" w:cs="黑体"/>
              <w:bCs/>
              <w:sz w:val="44"/>
              <w:szCs w:val="44"/>
            </w:rPr>
          </w:pPr>
          <w:bookmarkStart w:id="32" w:name="_GoBack"/>
          <w:bookmarkEnd w:id="32"/>
          <w:r>
            <w:rPr>
              <w:rFonts w:hint="eastAsia" w:ascii="黑体" w:hAnsi="黑体" w:eastAsia="黑体" w:cs="黑体"/>
              <w:bCs/>
              <w:sz w:val="44"/>
              <w:szCs w:val="44"/>
            </w:rPr>
            <w:t>目  录</w:t>
          </w:r>
        </w:p>
        <w:p>
          <w:pPr>
            <w:pStyle w:val="12"/>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TOC \o "1-3" \h \z \u </w:instrText>
          </w:r>
          <w:r>
            <w:fldChar w:fldCharType="separate"/>
          </w:r>
          <w:r>
            <w:fldChar w:fldCharType="begin"/>
          </w:r>
          <w:r>
            <w:instrText xml:space="preserve"> HYPERLINK \l "_Toc92457801" </w:instrText>
          </w:r>
          <w:r>
            <w:fldChar w:fldCharType="separate"/>
          </w:r>
          <w:r>
            <w:rPr>
              <w:rStyle w:val="17"/>
              <w:rFonts w:ascii="黑体" w:hAnsi="黑体" w:eastAsia="黑体"/>
              <w:color w:val="auto"/>
              <w:sz w:val="24"/>
              <w:szCs w:val="22"/>
            </w:rPr>
            <w:t>一、总体概况</w:t>
          </w:r>
          <w:r>
            <w:rPr>
              <w:sz w:val="24"/>
              <w:szCs w:val="22"/>
            </w:rPr>
            <w:tab/>
          </w:r>
          <w:r>
            <w:rPr>
              <w:sz w:val="24"/>
              <w:szCs w:val="22"/>
            </w:rPr>
            <w:fldChar w:fldCharType="begin"/>
          </w:r>
          <w:r>
            <w:rPr>
              <w:sz w:val="24"/>
              <w:szCs w:val="22"/>
            </w:rPr>
            <w:instrText xml:space="preserve"> PAGEREF _Toc92457801 \h </w:instrText>
          </w:r>
          <w:r>
            <w:rPr>
              <w:sz w:val="24"/>
              <w:szCs w:val="22"/>
            </w:rPr>
            <w:fldChar w:fldCharType="separate"/>
          </w:r>
          <w:r>
            <w:rPr>
              <w:sz w:val="24"/>
              <w:szCs w:val="22"/>
            </w:rPr>
            <w:t>3</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"_Toc92457802" </w:instrText>
          </w:r>
          <w:r>
            <w:fldChar w:fldCharType="separate"/>
          </w:r>
          <w:r>
            <w:rPr>
              <w:rStyle w:val="17"/>
              <w:rFonts w:ascii="仿宋" w:hAnsi="仿宋" w:eastAsia="仿宋"/>
              <w:color w:val="auto"/>
              <w:sz w:val="24"/>
              <w:szCs w:val="22"/>
            </w:rPr>
            <w:t>1.学位授权点基本情况</w:t>
          </w:r>
          <w:r>
            <w:rPr>
              <w:sz w:val="24"/>
              <w:szCs w:val="22"/>
            </w:rPr>
            <w:tab/>
          </w:r>
          <w:r>
            <w:rPr>
              <w:sz w:val="24"/>
              <w:szCs w:val="22"/>
            </w:rPr>
            <w:fldChar w:fldCharType="begin"/>
          </w:r>
          <w:r>
            <w:rPr>
              <w:sz w:val="24"/>
              <w:szCs w:val="22"/>
            </w:rPr>
            <w:instrText xml:space="preserve"> PAGEREF _Toc92457802 \h </w:instrText>
          </w:r>
          <w:r>
            <w:rPr>
              <w:sz w:val="24"/>
              <w:szCs w:val="22"/>
            </w:rPr>
            <w:fldChar w:fldCharType="separate"/>
          </w:r>
          <w:r>
            <w:rPr>
              <w:sz w:val="24"/>
              <w:szCs w:val="22"/>
            </w:rPr>
            <w:t>3</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"_Toc92457803" </w:instrText>
          </w:r>
          <w:r>
            <w:fldChar w:fldCharType="separate"/>
          </w:r>
          <w:r>
            <w:rPr>
              <w:rStyle w:val="17"/>
              <w:rFonts w:ascii="仿宋" w:hAnsi="仿宋" w:eastAsia="仿宋"/>
              <w:color w:val="auto"/>
              <w:sz w:val="24"/>
              <w:szCs w:val="22"/>
            </w:rPr>
            <w:t>2.学位授权点建设情况</w:t>
          </w:r>
          <w:r>
            <w:rPr>
              <w:sz w:val="24"/>
              <w:szCs w:val="22"/>
            </w:rPr>
            <w:tab/>
          </w:r>
          <w:r>
            <w:rPr>
              <w:sz w:val="24"/>
              <w:szCs w:val="22"/>
            </w:rPr>
            <w:fldChar w:fldCharType="begin"/>
          </w:r>
          <w:r>
            <w:rPr>
              <w:sz w:val="24"/>
              <w:szCs w:val="22"/>
            </w:rPr>
            <w:instrText xml:space="preserve"> PAGEREF _Toc92457803 \h </w:instrText>
          </w:r>
          <w:r>
            <w:rPr>
              <w:sz w:val="24"/>
              <w:szCs w:val="22"/>
            </w:rPr>
            <w:fldChar w:fldCharType="separate"/>
          </w:r>
          <w:r>
            <w:rPr>
              <w:sz w:val="24"/>
              <w:szCs w:val="22"/>
            </w:rPr>
            <w:t>3</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"_Toc92457804" </w:instrText>
          </w:r>
          <w:r>
            <w:fldChar w:fldCharType="separate"/>
          </w:r>
          <w:r>
            <w:rPr>
              <w:rStyle w:val="17"/>
              <w:rFonts w:ascii="仿宋" w:hAnsi="仿宋" w:eastAsia="仿宋"/>
              <w:color w:val="auto"/>
              <w:sz w:val="24"/>
              <w:szCs w:val="22"/>
            </w:rPr>
            <w:t>3.研究生招生就业情况</w:t>
          </w:r>
          <w:r>
            <w:rPr>
              <w:sz w:val="24"/>
              <w:szCs w:val="22"/>
            </w:rPr>
            <w:tab/>
          </w:r>
          <w:r>
            <w:rPr>
              <w:sz w:val="24"/>
              <w:szCs w:val="22"/>
            </w:rPr>
            <w:fldChar w:fldCharType="begin"/>
          </w:r>
          <w:r>
            <w:rPr>
              <w:sz w:val="24"/>
              <w:szCs w:val="22"/>
            </w:rPr>
            <w:instrText xml:space="preserve"> PAGEREF _Toc92457804 \h </w:instrText>
          </w:r>
          <w:r>
            <w:rPr>
              <w:sz w:val="24"/>
              <w:szCs w:val="22"/>
            </w:rPr>
            <w:fldChar w:fldCharType="separate"/>
          </w:r>
          <w:r>
            <w:rPr>
              <w:sz w:val="24"/>
              <w:szCs w:val="22"/>
            </w:rPr>
            <w:t>5</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"_Toc92457805" </w:instrText>
          </w:r>
          <w:r>
            <w:fldChar w:fldCharType="separate"/>
          </w:r>
          <w:r>
            <w:rPr>
              <w:rStyle w:val="17"/>
              <w:rFonts w:ascii="仿宋" w:hAnsi="仿宋" w:eastAsia="仿宋"/>
              <w:color w:val="auto"/>
              <w:sz w:val="24"/>
              <w:szCs w:val="22"/>
            </w:rPr>
            <w:t>4.研究生导师状况</w:t>
          </w:r>
          <w:r>
            <w:rPr>
              <w:sz w:val="24"/>
              <w:szCs w:val="22"/>
            </w:rPr>
            <w:tab/>
          </w:r>
          <w:r>
            <w:rPr>
              <w:sz w:val="24"/>
              <w:szCs w:val="22"/>
            </w:rPr>
            <w:fldChar w:fldCharType="begin"/>
          </w:r>
          <w:r>
            <w:rPr>
              <w:sz w:val="24"/>
              <w:szCs w:val="22"/>
            </w:rPr>
            <w:instrText xml:space="preserve"> PAGEREF _Toc92457805 \h </w:instrText>
          </w:r>
          <w:r>
            <w:rPr>
              <w:sz w:val="24"/>
              <w:szCs w:val="22"/>
            </w:rPr>
            <w:fldChar w:fldCharType="separate"/>
          </w:r>
          <w:r>
            <w:rPr>
              <w:sz w:val="24"/>
              <w:szCs w:val="22"/>
            </w:rPr>
            <w:t>6</w:t>
          </w:r>
          <w:r>
            <w:rPr>
              <w:sz w:val="24"/>
              <w:szCs w:val="22"/>
            </w:rPr>
            <w:fldChar w:fldCharType="end"/>
          </w:r>
          <w:r>
            <w:rPr>
              <w:sz w:val="24"/>
              <w:szCs w:val="22"/>
            </w:rPr>
            <w:fldChar w:fldCharType="end"/>
          </w:r>
        </w:p>
        <w:p>
          <w:pPr>
            <w:pStyle w:val="12"/>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"_Toc92457806" </w:instrText>
          </w:r>
          <w:r>
            <w:fldChar w:fldCharType="separate"/>
          </w:r>
          <w:r>
            <w:rPr>
              <w:rStyle w:val="17"/>
              <w:rFonts w:ascii="黑体" w:hAnsi="黑体" w:eastAsia="黑体"/>
              <w:color w:val="auto"/>
              <w:sz w:val="24"/>
              <w:szCs w:val="22"/>
            </w:rPr>
            <w:t>二、研究生党建与思想政治教育工作</w:t>
          </w:r>
          <w:r>
            <w:rPr>
              <w:sz w:val="24"/>
              <w:szCs w:val="22"/>
            </w:rPr>
            <w:tab/>
          </w:r>
          <w:r>
            <w:rPr>
              <w:sz w:val="24"/>
              <w:szCs w:val="22"/>
            </w:rPr>
            <w:fldChar w:fldCharType="begin"/>
          </w:r>
          <w:r>
            <w:rPr>
              <w:sz w:val="24"/>
              <w:szCs w:val="22"/>
            </w:rPr>
            <w:instrText xml:space="preserve"> PAGEREF _Toc92457806 \h </w:instrText>
          </w:r>
          <w:r>
            <w:rPr>
              <w:sz w:val="24"/>
              <w:szCs w:val="22"/>
            </w:rPr>
            <w:fldChar w:fldCharType="separate"/>
          </w:r>
          <w:r>
            <w:rPr>
              <w:sz w:val="24"/>
              <w:szCs w:val="22"/>
            </w:rPr>
            <w:t>7</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"_Toc92457807" </w:instrText>
          </w:r>
          <w:r>
            <w:fldChar w:fldCharType="separate"/>
          </w:r>
          <w:r>
            <w:rPr>
              <w:rStyle w:val="17"/>
              <w:rFonts w:ascii="仿宋" w:hAnsi="仿宋" w:eastAsia="仿宋"/>
              <w:color w:val="auto"/>
              <w:w w:val="110"/>
              <w:sz w:val="24"/>
              <w:szCs w:val="22"/>
            </w:rPr>
            <w:t>1. 思想政治教育队伍建设</w:t>
          </w:r>
          <w:r>
            <w:rPr>
              <w:sz w:val="24"/>
              <w:szCs w:val="22"/>
            </w:rPr>
            <w:tab/>
          </w:r>
          <w:r>
            <w:rPr>
              <w:sz w:val="24"/>
              <w:szCs w:val="22"/>
            </w:rPr>
            <w:fldChar w:fldCharType="begin"/>
          </w:r>
          <w:r>
            <w:rPr>
              <w:sz w:val="24"/>
              <w:szCs w:val="22"/>
            </w:rPr>
            <w:instrText xml:space="preserve"> PAGEREF _Toc92457807 \h </w:instrText>
          </w:r>
          <w:r>
            <w:rPr>
              <w:sz w:val="24"/>
              <w:szCs w:val="22"/>
            </w:rPr>
            <w:fldChar w:fldCharType="separate"/>
          </w:r>
          <w:r>
            <w:rPr>
              <w:sz w:val="24"/>
              <w:szCs w:val="22"/>
            </w:rPr>
            <w:t>7</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"_Toc92457808" </w:instrText>
          </w:r>
          <w:r>
            <w:fldChar w:fldCharType="separate"/>
          </w:r>
          <w:r>
            <w:rPr>
              <w:rStyle w:val="17"/>
              <w:rFonts w:ascii="仿宋" w:hAnsi="仿宋" w:eastAsia="仿宋"/>
              <w:color w:val="auto"/>
              <w:w w:val="110"/>
              <w:sz w:val="24"/>
              <w:szCs w:val="22"/>
            </w:rPr>
            <w:t>2. 理想信念和社会主义核心价值观教育</w:t>
          </w:r>
          <w:r>
            <w:rPr>
              <w:sz w:val="24"/>
              <w:szCs w:val="22"/>
            </w:rPr>
            <w:tab/>
          </w:r>
          <w:r>
            <w:rPr>
              <w:sz w:val="24"/>
              <w:szCs w:val="22"/>
            </w:rPr>
            <w:fldChar w:fldCharType="begin"/>
          </w:r>
          <w:r>
            <w:rPr>
              <w:sz w:val="24"/>
              <w:szCs w:val="22"/>
            </w:rPr>
            <w:instrText xml:space="preserve"> PAGEREF _Toc92457808 \h </w:instrText>
          </w:r>
          <w:r>
            <w:rPr>
              <w:sz w:val="24"/>
              <w:szCs w:val="22"/>
            </w:rPr>
            <w:fldChar w:fldCharType="separate"/>
          </w:r>
          <w:r>
            <w:rPr>
              <w:sz w:val="24"/>
              <w:szCs w:val="22"/>
            </w:rPr>
            <w:t>7</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"_Toc92457809" </w:instrText>
          </w:r>
          <w:r>
            <w:fldChar w:fldCharType="separate"/>
          </w:r>
          <w:r>
            <w:rPr>
              <w:rStyle w:val="17"/>
              <w:rFonts w:ascii="仿宋" w:hAnsi="仿宋" w:eastAsia="仿宋"/>
              <w:color w:val="auto"/>
              <w:w w:val="110"/>
              <w:sz w:val="24"/>
              <w:szCs w:val="22"/>
            </w:rPr>
            <w:t>3.学位点</w:t>
          </w:r>
          <w:r>
            <w:rPr>
              <w:rStyle w:val="17"/>
              <w:rFonts w:ascii="仿宋" w:hAnsi="仿宋" w:eastAsia="仿宋"/>
              <w:color w:val="auto"/>
              <w:sz w:val="24"/>
              <w:szCs w:val="22"/>
            </w:rPr>
            <w:t>文化</w:t>
          </w:r>
          <w:r>
            <w:rPr>
              <w:rStyle w:val="17"/>
              <w:rFonts w:ascii="仿宋" w:hAnsi="仿宋" w:eastAsia="仿宋"/>
              <w:color w:val="auto"/>
              <w:w w:val="110"/>
              <w:sz w:val="24"/>
              <w:szCs w:val="22"/>
            </w:rPr>
            <w:t>建设情况</w:t>
          </w:r>
          <w:r>
            <w:rPr>
              <w:sz w:val="24"/>
              <w:szCs w:val="22"/>
            </w:rPr>
            <w:tab/>
          </w:r>
          <w:r>
            <w:rPr>
              <w:sz w:val="24"/>
              <w:szCs w:val="22"/>
            </w:rPr>
            <w:fldChar w:fldCharType="begin"/>
          </w:r>
          <w:r>
            <w:rPr>
              <w:sz w:val="24"/>
              <w:szCs w:val="22"/>
            </w:rPr>
            <w:instrText xml:space="preserve"> PAGEREF _Toc92457809 \h </w:instrText>
          </w:r>
          <w:r>
            <w:rPr>
              <w:sz w:val="24"/>
              <w:szCs w:val="22"/>
            </w:rPr>
            <w:fldChar w:fldCharType="separate"/>
          </w:r>
          <w:r>
            <w:rPr>
              <w:sz w:val="24"/>
              <w:szCs w:val="22"/>
            </w:rPr>
            <w:t>8</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"_Toc92457810" </w:instrText>
          </w:r>
          <w:r>
            <w:fldChar w:fldCharType="separate"/>
          </w:r>
          <w:r>
            <w:rPr>
              <w:rStyle w:val="17"/>
              <w:rFonts w:ascii="仿宋" w:hAnsi="仿宋" w:eastAsia="仿宋"/>
              <w:color w:val="auto"/>
              <w:w w:val="110"/>
              <w:sz w:val="24"/>
              <w:szCs w:val="22"/>
            </w:rPr>
            <w:t>4. 学位点日常管理、服务工作情况</w:t>
          </w:r>
          <w:r>
            <w:rPr>
              <w:sz w:val="24"/>
              <w:szCs w:val="22"/>
            </w:rPr>
            <w:tab/>
          </w:r>
          <w:r>
            <w:rPr>
              <w:sz w:val="24"/>
              <w:szCs w:val="22"/>
            </w:rPr>
            <w:fldChar w:fldCharType="begin"/>
          </w:r>
          <w:r>
            <w:rPr>
              <w:sz w:val="24"/>
              <w:szCs w:val="22"/>
            </w:rPr>
            <w:instrText xml:space="preserve"> PAGEREF _Toc92457810 \h </w:instrText>
          </w:r>
          <w:r>
            <w:rPr>
              <w:sz w:val="24"/>
              <w:szCs w:val="22"/>
            </w:rPr>
            <w:fldChar w:fldCharType="separate"/>
          </w:r>
          <w:r>
            <w:rPr>
              <w:sz w:val="24"/>
              <w:szCs w:val="22"/>
            </w:rPr>
            <w:t>9</w:t>
          </w:r>
          <w:r>
            <w:rPr>
              <w:sz w:val="24"/>
              <w:szCs w:val="22"/>
            </w:rPr>
            <w:fldChar w:fldCharType="end"/>
          </w:r>
          <w:r>
            <w:rPr>
              <w:sz w:val="24"/>
              <w:szCs w:val="22"/>
            </w:rPr>
            <w:fldChar w:fldCharType="end"/>
          </w:r>
        </w:p>
        <w:p>
          <w:pPr>
            <w:pStyle w:val="12"/>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"_Toc92457811" </w:instrText>
          </w:r>
          <w:r>
            <w:fldChar w:fldCharType="separate"/>
          </w:r>
          <w:r>
            <w:rPr>
              <w:rStyle w:val="17"/>
              <w:rFonts w:ascii="黑体" w:hAnsi="黑体" w:eastAsia="黑体"/>
              <w:color w:val="auto"/>
              <w:sz w:val="24"/>
              <w:szCs w:val="22"/>
            </w:rPr>
            <w:t>三、研究生培养相关制度及执行情况</w:t>
          </w:r>
          <w:r>
            <w:rPr>
              <w:sz w:val="24"/>
              <w:szCs w:val="22"/>
            </w:rPr>
            <w:tab/>
          </w:r>
          <w:r>
            <w:rPr>
              <w:sz w:val="24"/>
              <w:szCs w:val="22"/>
            </w:rPr>
            <w:fldChar w:fldCharType="begin"/>
          </w:r>
          <w:r>
            <w:rPr>
              <w:sz w:val="24"/>
              <w:szCs w:val="22"/>
            </w:rPr>
            <w:instrText xml:space="preserve"> PAGEREF _Toc92457811 \h </w:instrText>
          </w:r>
          <w:r>
            <w:rPr>
              <w:sz w:val="24"/>
              <w:szCs w:val="22"/>
            </w:rPr>
            <w:fldChar w:fldCharType="separate"/>
          </w:r>
          <w:r>
            <w:rPr>
              <w:sz w:val="24"/>
              <w:szCs w:val="22"/>
            </w:rPr>
            <w:t>10</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"_Toc92457812" </w:instrText>
          </w:r>
          <w:r>
            <w:fldChar w:fldCharType="separate"/>
          </w:r>
          <w:r>
            <w:rPr>
              <w:rStyle w:val="17"/>
              <w:rFonts w:ascii="仿宋" w:hAnsi="仿宋" w:eastAsia="仿宋"/>
              <w:color w:val="auto"/>
              <w:w w:val="110"/>
              <w:sz w:val="24"/>
              <w:szCs w:val="22"/>
            </w:rPr>
            <w:t>1. 课程建设与实施情况</w:t>
          </w:r>
          <w:r>
            <w:rPr>
              <w:sz w:val="24"/>
              <w:szCs w:val="22"/>
            </w:rPr>
            <w:tab/>
          </w:r>
          <w:r>
            <w:rPr>
              <w:sz w:val="24"/>
              <w:szCs w:val="22"/>
            </w:rPr>
            <w:fldChar w:fldCharType="begin"/>
          </w:r>
          <w:r>
            <w:rPr>
              <w:sz w:val="24"/>
              <w:szCs w:val="22"/>
            </w:rPr>
            <w:instrText xml:space="preserve"> PAGEREF _Toc92457812 \h </w:instrText>
          </w:r>
          <w:r>
            <w:rPr>
              <w:sz w:val="24"/>
              <w:szCs w:val="22"/>
            </w:rPr>
            <w:fldChar w:fldCharType="separate"/>
          </w:r>
          <w:r>
            <w:rPr>
              <w:sz w:val="24"/>
              <w:szCs w:val="22"/>
            </w:rPr>
            <w:t>10</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"_Toc92457813" </w:instrText>
          </w:r>
          <w:r>
            <w:fldChar w:fldCharType="separate"/>
          </w:r>
          <w:r>
            <w:rPr>
              <w:rStyle w:val="17"/>
              <w:rFonts w:ascii="仿宋" w:hAnsi="仿宋" w:eastAsia="仿宋"/>
              <w:color w:val="auto"/>
              <w:w w:val="110"/>
              <w:sz w:val="24"/>
              <w:szCs w:val="22"/>
            </w:rPr>
            <w:t>2. 导师</w:t>
          </w:r>
          <w:r>
            <w:rPr>
              <w:rStyle w:val="17"/>
              <w:rFonts w:ascii="仿宋" w:hAnsi="仿宋" w:eastAsia="仿宋"/>
              <w:color w:val="auto"/>
              <w:sz w:val="24"/>
              <w:szCs w:val="22"/>
            </w:rPr>
            <w:t>选拔</w:t>
          </w:r>
          <w:r>
            <w:rPr>
              <w:rStyle w:val="17"/>
              <w:rFonts w:ascii="仿宋" w:hAnsi="仿宋" w:eastAsia="仿宋"/>
              <w:color w:val="auto"/>
              <w:w w:val="110"/>
              <w:sz w:val="24"/>
              <w:szCs w:val="22"/>
            </w:rPr>
            <w:t>与培训情况</w:t>
          </w:r>
          <w:r>
            <w:rPr>
              <w:sz w:val="24"/>
              <w:szCs w:val="22"/>
            </w:rPr>
            <w:tab/>
          </w:r>
          <w:r>
            <w:rPr>
              <w:sz w:val="24"/>
              <w:szCs w:val="22"/>
            </w:rPr>
            <w:fldChar w:fldCharType="begin"/>
          </w:r>
          <w:r>
            <w:rPr>
              <w:sz w:val="24"/>
              <w:szCs w:val="22"/>
            </w:rPr>
            <w:instrText xml:space="preserve"> PAGEREF _Toc92457813 \h </w:instrText>
          </w:r>
          <w:r>
            <w:rPr>
              <w:sz w:val="24"/>
              <w:szCs w:val="22"/>
            </w:rPr>
            <w:fldChar w:fldCharType="separate"/>
          </w:r>
          <w:r>
            <w:rPr>
              <w:sz w:val="24"/>
              <w:szCs w:val="22"/>
            </w:rPr>
            <w:t>11</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"_Toc92457814" </w:instrText>
          </w:r>
          <w:r>
            <w:fldChar w:fldCharType="separate"/>
          </w:r>
          <w:r>
            <w:rPr>
              <w:rStyle w:val="17"/>
              <w:rFonts w:ascii="仿宋" w:hAnsi="仿宋" w:eastAsia="仿宋"/>
              <w:color w:val="auto"/>
              <w:w w:val="110"/>
              <w:sz w:val="24"/>
              <w:szCs w:val="22"/>
            </w:rPr>
            <w:t>3. 师德师风</w:t>
          </w:r>
          <w:r>
            <w:rPr>
              <w:rStyle w:val="17"/>
              <w:rFonts w:ascii="仿宋" w:hAnsi="仿宋" w:eastAsia="仿宋"/>
              <w:color w:val="auto"/>
              <w:sz w:val="24"/>
              <w:szCs w:val="22"/>
            </w:rPr>
            <w:t>建设</w:t>
          </w:r>
          <w:r>
            <w:rPr>
              <w:rStyle w:val="17"/>
              <w:rFonts w:ascii="仿宋" w:hAnsi="仿宋" w:eastAsia="仿宋"/>
              <w:color w:val="auto"/>
              <w:w w:val="110"/>
              <w:sz w:val="24"/>
              <w:szCs w:val="22"/>
            </w:rPr>
            <w:t>情况</w:t>
          </w:r>
          <w:r>
            <w:rPr>
              <w:sz w:val="24"/>
              <w:szCs w:val="22"/>
            </w:rPr>
            <w:tab/>
          </w:r>
          <w:r>
            <w:rPr>
              <w:sz w:val="24"/>
              <w:szCs w:val="22"/>
            </w:rPr>
            <w:fldChar w:fldCharType="begin"/>
          </w:r>
          <w:r>
            <w:rPr>
              <w:sz w:val="24"/>
              <w:szCs w:val="22"/>
            </w:rPr>
            <w:instrText xml:space="preserve"> PAGEREF _Toc92457814 \h </w:instrText>
          </w:r>
          <w:r>
            <w:rPr>
              <w:sz w:val="24"/>
              <w:szCs w:val="22"/>
            </w:rPr>
            <w:fldChar w:fldCharType="separate"/>
          </w:r>
          <w:r>
            <w:rPr>
              <w:sz w:val="24"/>
              <w:szCs w:val="22"/>
            </w:rPr>
            <w:t>12</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"_Toc92457815" </w:instrText>
          </w:r>
          <w:r>
            <w:fldChar w:fldCharType="separate"/>
          </w:r>
          <w:r>
            <w:rPr>
              <w:rStyle w:val="17"/>
              <w:rFonts w:ascii="仿宋" w:hAnsi="仿宋" w:eastAsia="仿宋"/>
              <w:color w:val="auto"/>
              <w:w w:val="110"/>
              <w:sz w:val="24"/>
              <w:szCs w:val="22"/>
            </w:rPr>
            <w:t xml:space="preserve">4. </w:t>
          </w:r>
          <w:r>
            <w:rPr>
              <w:rStyle w:val="17"/>
              <w:rFonts w:ascii="仿宋" w:hAnsi="仿宋" w:eastAsia="仿宋"/>
              <w:color w:val="auto"/>
              <w:sz w:val="24"/>
              <w:szCs w:val="22"/>
            </w:rPr>
            <w:t>学术</w:t>
          </w:r>
          <w:r>
            <w:rPr>
              <w:rStyle w:val="17"/>
              <w:rFonts w:ascii="仿宋" w:hAnsi="仿宋" w:eastAsia="仿宋"/>
              <w:color w:val="auto"/>
              <w:w w:val="110"/>
              <w:sz w:val="24"/>
              <w:szCs w:val="22"/>
            </w:rPr>
            <w:t>训练情况</w:t>
          </w:r>
          <w:r>
            <w:rPr>
              <w:sz w:val="24"/>
              <w:szCs w:val="22"/>
            </w:rPr>
            <w:tab/>
          </w:r>
          <w:r>
            <w:rPr>
              <w:sz w:val="24"/>
              <w:szCs w:val="22"/>
            </w:rPr>
            <w:fldChar w:fldCharType="begin"/>
          </w:r>
          <w:r>
            <w:rPr>
              <w:sz w:val="24"/>
              <w:szCs w:val="22"/>
            </w:rPr>
            <w:instrText xml:space="preserve"> PAGEREF _Toc92457815 \h </w:instrText>
          </w:r>
          <w:r>
            <w:rPr>
              <w:sz w:val="24"/>
              <w:szCs w:val="22"/>
            </w:rPr>
            <w:fldChar w:fldCharType="separate"/>
          </w:r>
          <w:r>
            <w:rPr>
              <w:sz w:val="24"/>
              <w:szCs w:val="22"/>
            </w:rPr>
            <w:t>12</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"_Toc92457816" </w:instrText>
          </w:r>
          <w:r>
            <w:fldChar w:fldCharType="separate"/>
          </w:r>
          <w:r>
            <w:rPr>
              <w:rStyle w:val="17"/>
              <w:rFonts w:ascii="仿宋" w:hAnsi="仿宋" w:eastAsia="仿宋"/>
              <w:color w:val="auto"/>
              <w:w w:val="110"/>
              <w:sz w:val="24"/>
              <w:szCs w:val="22"/>
            </w:rPr>
            <w:t>5. 学术</w:t>
          </w:r>
          <w:r>
            <w:rPr>
              <w:rStyle w:val="17"/>
              <w:rFonts w:ascii="仿宋" w:hAnsi="仿宋" w:eastAsia="仿宋"/>
              <w:color w:val="auto"/>
              <w:sz w:val="24"/>
              <w:szCs w:val="22"/>
            </w:rPr>
            <w:t>交流</w:t>
          </w:r>
          <w:r>
            <w:rPr>
              <w:rStyle w:val="17"/>
              <w:rFonts w:ascii="仿宋" w:hAnsi="仿宋" w:eastAsia="仿宋"/>
              <w:color w:val="auto"/>
              <w:w w:val="110"/>
              <w:sz w:val="24"/>
              <w:szCs w:val="22"/>
            </w:rPr>
            <w:t>情况</w:t>
          </w:r>
          <w:r>
            <w:rPr>
              <w:sz w:val="24"/>
              <w:szCs w:val="22"/>
            </w:rPr>
            <w:tab/>
          </w:r>
          <w:r>
            <w:rPr>
              <w:sz w:val="24"/>
              <w:szCs w:val="22"/>
            </w:rPr>
            <w:fldChar w:fldCharType="begin"/>
          </w:r>
          <w:r>
            <w:rPr>
              <w:sz w:val="24"/>
              <w:szCs w:val="22"/>
            </w:rPr>
            <w:instrText xml:space="preserve"> PAGEREF _Toc92457816 \h </w:instrText>
          </w:r>
          <w:r>
            <w:rPr>
              <w:sz w:val="24"/>
              <w:szCs w:val="22"/>
            </w:rPr>
            <w:fldChar w:fldCharType="separate"/>
          </w:r>
          <w:r>
            <w:rPr>
              <w:sz w:val="24"/>
              <w:szCs w:val="22"/>
            </w:rPr>
            <w:t>13</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"_Toc92457817" </w:instrText>
          </w:r>
          <w:r>
            <w:fldChar w:fldCharType="separate"/>
          </w:r>
          <w:r>
            <w:rPr>
              <w:rStyle w:val="17"/>
              <w:rFonts w:ascii="仿宋" w:hAnsi="仿宋" w:eastAsia="仿宋"/>
              <w:color w:val="auto"/>
              <w:w w:val="110"/>
              <w:sz w:val="24"/>
              <w:szCs w:val="22"/>
            </w:rPr>
            <w:t>6. 研究生奖助情况</w:t>
          </w:r>
          <w:r>
            <w:rPr>
              <w:sz w:val="24"/>
              <w:szCs w:val="22"/>
            </w:rPr>
            <w:tab/>
          </w:r>
          <w:r>
            <w:rPr>
              <w:sz w:val="24"/>
              <w:szCs w:val="22"/>
            </w:rPr>
            <w:fldChar w:fldCharType="begin"/>
          </w:r>
          <w:r>
            <w:rPr>
              <w:sz w:val="24"/>
              <w:szCs w:val="22"/>
            </w:rPr>
            <w:instrText xml:space="preserve"> PAGEREF _Toc92457817 \h </w:instrText>
          </w:r>
          <w:r>
            <w:rPr>
              <w:sz w:val="24"/>
              <w:szCs w:val="22"/>
            </w:rPr>
            <w:fldChar w:fldCharType="separate"/>
          </w:r>
          <w:r>
            <w:rPr>
              <w:sz w:val="24"/>
              <w:szCs w:val="22"/>
            </w:rPr>
            <w:t>15</w:t>
          </w:r>
          <w:r>
            <w:rPr>
              <w:sz w:val="24"/>
              <w:szCs w:val="22"/>
            </w:rPr>
            <w:fldChar w:fldCharType="end"/>
          </w:r>
          <w:r>
            <w:rPr>
              <w:sz w:val="24"/>
              <w:szCs w:val="22"/>
            </w:rPr>
            <w:fldChar w:fldCharType="end"/>
          </w:r>
        </w:p>
        <w:p>
          <w:pPr>
            <w:pStyle w:val="12"/>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"_Toc92457818" </w:instrText>
          </w:r>
          <w:r>
            <w:fldChar w:fldCharType="separate"/>
          </w:r>
          <w:r>
            <w:rPr>
              <w:rStyle w:val="17"/>
              <w:rFonts w:ascii="黑体" w:hAnsi="黑体" w:eastAsia="黑体"/>
              <w:color w:val="auto"/>
              <w:sz w:val="24"/>
              <w:szCs w:val="22"/>
            </w:rPr>
            <w:t>四、研究生教育改革情况</w:t>
          </w:r>
          <w:r>
            <w:rPr>
              <w:sz w:val="24"/>
              <w:szCs w:val="22"/>
            </w:rPr>
            <w:tab/>
          </w:r>
          <w:r>
            <w:rPr>
              <w:sz w:val="24"/>
              <w:szCs w:val="22"/>
            </w:rPr>
            <w:fldChar w:fldCharType="begin"/>
          </w:r>
          <w:r>
            <w:rPr>
              <w:sz w:val="24"/>
              <w:szCs w:val="22"/>
            </w:rPr>
            <w:instrText xml:space="preserve"> PAGEREF _Toc92457818 \h </w:instrText>
          </w:r>
          <w:r>
            <w:rPr>
              <w:sz w:val="24"/>
              <w:szCs w:val="22"/>
            </w:rPr>
            <w:fldChar w:fldCharType="separate"/>
          </w:r>
          <w:r>
            <w:rPr>
              <w:sz w:val="24"/>
              <w:szCs w:val="22"/>
            </w:rPr>
            <w:t>15</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"_Toc92457819" </w:instrText>
          </w:r>
          <w:r>
            <w:fldChar w:fldCharType="separate"/>
          </w:r>
          <w:r>
            <w:rPr>
              <w:rStyle w:val="17"/>
              <w:rFonts w:ascii="仿宋" w:hAnsi="仿宋" w:eastAsia="仿宋"/>
              <w:color w:val="auto"/>
              <w:w w:val="110"/>
              <w:sz w:val="24"/>
              <w:szCs w:val="22"/>
            </w:rPr>
            <w:t>1. 人才</w:t>
          </w:r>
          <w:r>
            <w:rPr>
              <w:rStyle w:val="17"/>
              <w:rFonts w:ascii="仿宋" w:hAnsi="仿宋" w:eastAsia="仿宋"/>
              <w:color w:val="auto"/>
              <w:sz w:val="24"/>
              <w:szCs w:val="22"/>
            </w:rPr>
            <w:t>培养</w:t>
          </w:r>
          <w:r>
            <w:rPr>
              <w:rStyle w:val="17"/>
              <w:rFonts w:ascii="仿宋" w:hAnsi="仿宋" w:eastAsia="仿宋"/>
              <w:color w:val="auto"/>
              <w:w w:val="110"/>
              <w:sz w:val="24"/>
              <w:szCs w:val="22"/>
            </w:rPr>
            <w:t>情况</w:t>
          </w:r>
          <w:r>
            <w:rPr>
              <w:sz w:val="24"/>
              <w:szCs w:val="22"/>
            </w:rPr>
            <w:tab/>
          </w:r>
          <w:r>
            <w:rPr>
              <w:sz w:val="24"/>
              <w:szCs w:val="22"/>
            </w:rPr>
            <w:fldChar w:fldCharType="begin"/>
          </w:r>
          <w:r>
            <w:rPr>
              <w:sz w:val="24"/>
              <w:szCs w:val="22"/>
            </w:rPr>
            <w:instrText xml:space="preserve"> PAGEREF _Toc92457819 \h </w:instrText>
          </w:r>
          <w:r>
            <w:rPr>
              <w:sz w:val="24"/>
              <w:szCs w:val="22"/>
            </w:rPr>
            <w:fldChar w:fldCharType="separate"/>
          </w:r>
          <w:r>
            <w:rPr>
              <w:sz w:val="24"/>
              <w:szCs w:val="22"/>
            </w:rPr>
            <w:t>15</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"_Toc92457820" </w:instrText>
          </w:r>
          <w:r>
            <w:fldChar w:fldCharType="separate"/>
          </w:r>
          <w:r>
            <w:rPr>
              <w:rStyle w:val="17"/>
              <w:rFonts w:ascii="仿宋" w:hAnsi="仿宋" w:eastAsia="仿宋"/>
              <w:color w:val="auto"/>
              <w:w w:val="110"/>
              <w:sz w:val="24"/>
              <w:szCs w:val="22"/>
            </w:rPr>
            <w:t>2. 教师队伍</w:t>
          </w:r>
          <w:r>
            <w:rPr>
              <w:rStyle w:val="17"/>
              <w:rFonts w:ascii="仿宋" w:hAnsi="仿宋" w:eastAsia="仿宋"/>
              <w:color w:val="auto"/>
              <w:sz w:val="24"/>
              <w:szCs w:val="22"/>
            </w:rPr>
            <w:t>建设</w:t>
          </w:r>
          <w:r>
            <w:rPr>
              <w:rStyle w:val="17"/>
              <w:rFonts w:ascii="仿宋" w:hAnsi="仿宋" w:eastAsia="仿宋"/>
              <w:color w:val="auto"/>
              <w:w w:val="110"/>
              <w:sz w:val="24"/>
              <w:szCs w:val="22"/>
            </w:rPr>
            <w:t>情况</w:t>
          </w:r>
          <w:r>
            <w:rPr>
              <w:sz w:val="24"/>
              <w:szCs w:val="22"/>
            </w:rPr>
            <w:tab/>
          </w:r>
          <w:r>
            <w:rPr>
              <w:sz w:val="24"/>
              <w:szCs w:val="22"/>
            </w:rPr>
            <w:fldChar w:fldCharType="begin"/>
          </w:r>
          <w:r>
            <w:rPr>
              <w:sz w:val="24"/>
              <w:szCs w:val="22"/>
            </w:rPr>
            <w:instrText xml:space="preserve"> PAGEREF _Toc92457820 \h </w:instrText>
          </w:r>
          <w:r>
            <w:rPr>
              <w:sz w:val="24"/>
              <w:szCs w:val="22"/>
            </w:rPr>
            <w:fldChar w:fldCharType="separate"/>
          </w:r>
          <w:r>
            <w:rPr>
              <w:sz w:val="24"/>
              <w:szCs w:val="22"/>
            </w:rPr>
            <w:t>17</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"_Toc92457821" </w:instrText>
          </w:r>
          <w:r>
            <w:fldChar w:fldCharType="separate"/>
          </w:r>
          <w:r>
            <w:rPr>
              <w:rStyle w:val="17"/>
              <w:rFonts w:ascii="仿宋" w:hAnsi="仿宋" w:eastAsia="仿宋"/>
              <w:color w:val="auto"/>
              <w:w w:val="110"/>
              <w:sz w:val="24"/>
              <w:szCs w:val="22"/>
            </w:rPr>
            <w:t xml:space="preserve">3. </w:t>
          </w:r>
          <w:r>
            <w:rPr>
              <w:rStyle w:val="17"/>
              <w:rFonts w:ascii="仿宋" w:hAnsi="仿宋" w:eastAsia="仿宋"/>
              <w:color w:val="auto"/>
              <w:sz w:val="24"/>
              <w:szCs w:val="22"/>
            </w:rPr>
            <w:t>科学研究</w:t>
          </w:r>
          <w:r>
            <w:rPr>
              <w:rStyle w:val="17"/>
              <w:rFonts w:ascii="仿宋" w:hAnsi="仿宋" w:eastAsia="仿宋"/>
              <w:color w:val="auto"/>
              <w:w w:val="110"/>
              <w:sz w:val="24"/>
              <w:szCs w:val="22"/>
            </w:rPr>
            <w:t>情况</w:t>
          </w:r>
          <w:r>
            <w:rPr>
              <w:sz w:val="24"/>
              <w:szCs w:val="22"/>
            </w:rPr>
            <w:tab/>
          </w:r>
          <w:r>
            <w:rPr>
              <w:sz w:val="24"/>
              <w:szCs w:val="22"/>
            </w:rPr>
            <w:fldChar w:fldCharType="begin"/>
          </w:r>
          <w:r>
            <w:rPr>
              <w:sz w:val="24"/>
              <w:szCs w:val="22"/>
            </w:rPr>
            <w:instrText xml:space="preserve"> PAGEREF _Toc92457821 \h </w:instrText>
          </w:r>
          <w:r>
            <w:rPr>
              <w:sz w:val="24"/>
              <w:szCs w:val="22"/>
            </w:rPr>
            <w:fldChar w:fldCharType="separate"/>
          </w:r>
          <w:r>
            <w:rPr>
              <w:sz w:val="24"/>
              <w:szCs w:val="22"/>
            </w:rPr>
            <w:t>18</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"_Toc92457822" </w:instrText>
          </w:r>
          <w:r>
            <w:fldChar w:fldCharType="separate"/>
          </w:r>
          <w:r>
            <w:rPr>
              <w:rStyle w:val="17"/>
              <w:rFonts w:ascii="仿宋" w:hAnsi="仿宋" w:eastAsia="仿宋"/>
              <w:color w:val="auto"/>
              <w:w w:val="110"/>
              <w:sz w:val="24"/>
              <w:szCs w:val="22"/>
            </w:rPr>
            <w:t>4. 传承创新优秀学科文化情况</w:t>
          </w:r>
          <w:r>
            <w:rPr>
              <w:sz w:val="24"/>
              <w:szCs w:val="22"/>
            </w:rPr>
            <w:tab/>
          </w:r>
          <w:r>
            <w:rPr>
              <w:sz w:val="24"/>
              <w:szCs w:val="22"/>
            </w:rPr>
            <w:fldChar w:fldCharType="begin"/>
          </w:r>
          <w:r>
            <w:rPr>
              <w:sz w:val="24"/>
              <w:szCs w:val="22"/>
            </w:rPr>
            <w:instrText xml:space="preserve"> PAGEREF _Toc92457822 \h </w:instrText>
          </w:r>
          <w:r>
            <w:rPr>
              <w:sz w:val="24"/>
              <w:szCs w:val="22"/>
            </w:rPr>
            <w:fldChar w:fldCharType="separate"/>
          </w:r>
          <w:r>
            <w:rPr>
              <w:sz w:val="24"/>
              <w:szCs w:val="22"/>
            </w:rPr>
            <w:t>20</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"_Toc92457823" </w:instrText>
          </w:r>
          <w:r>
            <w:fldChar w:fldCharType="separate"/>
          </w:r>
          <w:r>
            <w:rPr>
              <w:rStyle w:val="17"/>
              <w:rFonts w:ascii="仿宋" w:hAnsi="仿宋" w:eastAsia="仿宋"/>
              <w:color w:val="auto"/>
              <w:w w:val="110"/>
              <w:sz w:val="24"/>
              <w:szCs w:val="22"/>
            </w:rPr>
            <w:t>5.国际交流合作等的改革创新情况</w:t>
          </w:r>
          <w:r>
            <w:rPr>
              <w:sz w:val="24"/>
              <w:szCs w:val="22"/>
            </w:rPr>
            <w:tab/>
          </w:r>
          <w:r>
            <w:rPr>
              <w:sz w:val="24"/>
              <w:szCs w:val="22"/>
            </w:rPr>
            <w:fldChar w:fldCharType="begin"/>
          </w:r>
          <w:r>
            <w:rPr>
              <w:sz w:val="24"/>
              <w:szCs w:val="22"/>
            </w:rPr>
            <w:instrText xml:space="preserve"> PAGEREF _Toc92457823 \h </w:instrText>
          </w:r>
          <w:r>
            <w:rPr>
              <w:sz w:val="24"/>
              <w:szCs w:val="22"/>
            </w:rPr>
            <w:fldChar w:fldCharType="separate"/>
          </w:r>
          <w:r>
            <w:rPr>
              <w:sz w:val="24"/>
              <w:szCs w:val="22"/>
            </w:rPr>
            <w:t>20</w:t>
          </w:r>
          <w:r>
            <w:rPr>
              <w:sz w:val="24"/>
              <w:szCs w:val="22"/>
            </w:rPr>
            <w:fldChar w:fldCharType="end"/>
          </w:r>
          <w:r>
            <w:rPr>
              <w:sz w:val="24"/>
              <w:szCs w:val="22"/>
            </w:rPr>
            <w:fldChar w:fldCharType="end"/>
          </w:r>
        </w:p>
        <w:p>
          <w:pPr>
            <w:pStyle w:val="12"/>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"_Toc92457824" </w:instrText>
          </w:r>
          <w:r>
            <w:fldChar w:fldCharType="separate"/>
          </w:r>
          <w:r>
            <w:rPr>
              <w:rStyle w:val="17"/>
              <w:rFonts w:ascii="黑体" w:hAnsi="黑体" w:eastAsia="黑体"/>
              <w:color w:val="auto"/>
              <w:sz w:val="24"/>
              <w:szCs w:val="22"/>
            </w:rPr>
            <w:t>五、教育质量评估与分析</w:t>
          </w:r>
          <w:r>
            <w:rPr>
              <w:sz w:val="24"/>
              <w:szCs w:val="22"/>
            </w:rPr>
            <w:tab/>
          </w:r>
          <w:r>
            <w:rPr>
              <w:sz w:val="24"/>
              <w:szCs w:val="22"/>
            </w:rPr>
            <w:fldChar w:fldCharType="begin"/>
          </w:r>
          <w:r>
            <w:rPr>
              <w:sz w:val="24"/>
              <w:szCs w:val="22"/>
            </w:rPr>
            <w:instrText xml:space="preserve"> PAGEREF _Toc92457824 \h </w:instrText>
          </w:r>
          <w:r>
            <w:rPr>
              <w:sz w:val="24"/>
              <w:szCs w:val="22"/>
            </w:rPr>
            <w:fldChar w:fldCharType="separate"/>
          </w:r>
          <w:r>
            <w:rPr>
              <w:sz w:val="24"/>
              <w:szCs w:val="22"/>
            </w:rPr>
            <w:t>21</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"_Toc92457825" </w:instrText>
          </w:r>
          <w:r>
            <w:fldChar w:fldCharType="separate"/>
          </w:r>
          <w:r>
            <w:rPr>
              <w:rStyle w:val="17"/>
              <w:rFonts w:ascii="仿宋" w:hAnsi="仿宋" w:eastAsia="仿宋"/>
              <w:color w:val="auto"/>
              <w:w w:val="110"/>
              <w:sz w:val="24"/>
              <w:szCs w:val="22"/>
            </w:rPr>
            <w:t>1.学位授权点自我评估进展及问题分析</w:t>
          </w:r>
          <w:r>
            <w:rPr>
              <w:sz w:val="24"/>
              <w:szCs w:val="22"/>
            </w:rPr>
            <w:tab/>
          </w:r>
          <w:r>
            <w:rPr>
              <w:sz w:val="24"/>
              <w:szCs w:val="22"/>
            </w:rPr>
            <w:fldChar w:fldCharType="begin"/>
          </w:r>
          <w:r>
            <w:rPr>
              <w:sz w:val="24"/>
              <w:szCs w:val="22"/>
            </w:rPr>
            <w:instrText xml:space="preserve"> PAGEREF _Toc92457825 \h </w:instrText>
          </w:r>
          <w:r>
            <w:rPr>
              <w:sz w:val="24"/>
              <w:szCs w:val="22"/>
            </w:rPr>
            <w:fldChar w:fldCharType="separate"/>
          </w:r>
          <w:r>
            <w:rPr>
              <w:sz w:val="24"/>
              <w:szCs w:val="22"/>
            </w:rPr>
            <w:t>21</w:t>
          </w:r>
          <w:r>
            <w:rPr>
              <w:sz w:val="24"/>
              <w:szCs w:val="22"/>
            </w:rPr>
            <w:fldChar w:fldCharType="end"/>
          </w:r>
          <w:r>
            <w:rPr>
              <w:sz w:val="24"/>
              <w:szCs w:val="22"/>
            </w:rPr>
            <w:fldChar w:fldCharType="end"/>
          </w:r>
        </w:p>
        <w:p>
          <w:pPr>
            <w:pStyle w:val="8"/>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"_Toc92457826" </w:instrText>
          </w:r>
          <w:r>
            <w:fldChar w:fldCharType="separate"/>
          </w:r>
          <w:r>
            <w:rPr>
              <w:rStyle w:val="17"/>
              <w:rFonts w:ascii="仿宋" w:hAnsi="仿宋" w:eastAsia="仿宋"/>
              <w:color w:val="auto"/>
              <w:w w:val="110"/>
              <w:sz w:val="24"/>
              <w:szCs w:val="22"/>
            </w:rPr>
            <w:t>2.学位论文抽检情况及问题分析</w:t>
          </w:r>
          <w:r>
            <w:rPr>
              <w:sz w:val="24"/>
              <w:szCs w:val="22"/>
            </w:rPr>
            <w:tab/>
          </w:r>
          <w:r>
            <w:rPr>
              <w:sz w:val="24"/>
              <w:szCs w:val="22"/>
            </w:rPr>
            <w:fldChar w:fldCharType="begin"/>
          </w:r>
          <w:r>
            <w:rPr>
              <w:sz w:val="24"/>
              <w:szCs w:val="22"/>
            </w:rPr>
            <w:instrText xml:space="preserve"> PAGEREF _Toc92457826 \h </w:instrText>
          </w:r>
          <w:r>
            <w:rPr>
              <w:sz w:val="24"/>
              <w:szCs w:val="22"/>
            </w:rPr>
            <w:fldChar w:fldCharType="separate"/>
          </w:r>
          <w:r>
            <w:rPr>
              <w:sz w:val="24"/>
              <w:szCs w:val="22"/>
            </w:rPr>
            <w:t>21</w:t>
          </w:r>
          <w:r>
            <w:rPr>
              <w:sz w:val="24"/>
              <w:szCs w:val="22"/>
            </w:rPr>
            <w:fldChar w:fldCharType="end"/>
          </w:r>
          <w:r>
            <w:rPr>
              <w:sz w:val="24"/>
              <w:szCs w:val="22"/>
            </w:rPr>
            <w:fldChar w:fldCharType="end"/>
          </w:r>
        </w:p>
        <w:p>
          <w:pPr>
            <w:pStyle w:val="12"/>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"_Toc92457827" </w:instrText>
          </w:r>
          <w:r>
            <w:fldChar w:fldCharType="separate"/>
          </w:r>
          <w:r>
            <w:rPr>
              <w:rStyle w:val="17"/>
              <w:rFonts w:ascii="黑体" w:hAnsi="黑体" w:eastAsia="黑体"/>
              <w:color w:val="auto"/>
              <w:sz w:val="24"/>
              <w:szCs w:val="22"/>
            </w:rPr>
            <w:t>六、改进措施</w:t>
          </w:r>
          <w:r>
            <w:rPr>
              <w:sz w:val="24"/>
              <w:szCs w:val="22"/>
            </w:rPr>
            <w:tab/>
          </w:r>
          <w:r>
            <w:rPr>
              <w:sz w:val="24"/>
              <w:szCs w:val="22"/>
            </w:rPr>
            <w:fldChar w:fldCharType="begin"/>
          </w:r>
          <w:r>
            <w:rPr>
              <w:sz w:val="24"/>
              <w:szCs w:val="22"/>
            </w:rPr>
            <w:instrText xml:space="preserve"> PAGEREF _Toc92457827 \h </w:instrText>
          </w:r>
          <w:r>
            <w:rPr>
              <w:sz w:val="24"/>
              <w:szCs w:val="22"/>
            </w:rPr>
            <w:fldChar w:fldCharType="separate"/>
          </w:r>
          <w:r>
            <w:rPr>
              <w:sz w:val="24"/>
              <w:szCs w:val="22"/>
            </w:rPr>
            <w:t>23</w:t>
          </w:r>
          <w:r>
            <w:rPr>
              <w:sz w:val="24"/>
              <w:szCs w:val="22"/>
            </w:rPr>
            <w:fldChar w:fldCharType="end"/>
          </w:r>
          <w:r>
            <w:rPr>
              <w:sz w:val="24"/>
              <w:szCs w:val="22"/>
            </w:rPr>
            <w:fldChar w:fldCharType="end"/>
          </w:r>
        </w:p>
        <w:p>
          <w:r>
            <w:rPr>
              <w:b/>
              <w:bCs/>
              <w:lang w:val="zh-CN"/>
            </w:rPr>
            <w:fldChar w:fldCharType="end"/>
          </w:r>
        </w:p>
      </w:sdtContent>
    </w:sdt>
    <w:p>
      <w:pPr>
        <w:pStyle w:val="13"/>
      </w:pPr>
    </w:p>
    <w:p>
      <w:pPr>
        <w:spacing w:before="624" w:beforeLines="200" w:after="312" w:afterLines="100"/>
        <w:jc w:val="both"/>
        <w:rPr>
          <w:rFonts w:ascii="黑体" w:hAnsi="黑体" w:eastAsia="黑体" w:cs="黑体"/>
          <w:bCs/>
          <w:sz w:val="44"/>
          <w:szCs w:val="44"/>
        </w:rPr>
      </w:pPr>
      <w:r>
        <w:rPr>
          <w:rFonts w:ascii="黑体" w:hAnsi="黑体" w:eastAsia="黑体" w:cs="黑体"/>
          <w:bCs/>
          <w:sz w:val="44"/>
          <w:szCs w:val="44"/>
        </w:rPr>
        <w:t xml:space="preserve"> </w:t>
      </w:r>
    </w:p>
    <w:p>
      <w:pPr>
        <w:pStyle w:val="3"/>
        <w:snapToGrid w:val="0"/>
        <w:spacing w:before="0" w:after="0" w:line="360" w:lineRule="auto"/>
        <w:rPr>
          <w:rFonts w:ascii="黑体" w:hAnsi="黑体" w:eastAsia="黑体"/>
          <w:b w:val="0"/>
          <w:bCs w:val="0"/>
        </w:rPr>
      </w:pPr>
      <w:bookmarkStart w:id="1" w:name="_Toc92457801"/>
      <w:r>
        <w:rPr>
          <w:rFonts w:hint="eastAsia" w:ascii="黑体" w:hAnsi="黑体" w:eastAsia="黑体"/>
          <w:b w:val="0"/>
          <w:bCs w:val="0"/>
        </w:rPr>
        <w:t>一、总体概况</w:t>
      </w:r>
      <w:bookmarkEnd w:id="1"/>
    </w:p>
    <w:p>
      <w:pPr>
        <w:pStyle w:val="4"/>
        <w:snapToGrid w:val="0"/>
        <w:spacing w:before="0" w:after="0" w:line="360" w:lineRule="auto"/>
        <w:ind w:firstLine="562" w:firstLineChars="200"/>
        <w:rPr>
          <w:rFonts w:ascii="仿宋" w:hAnsi="仿宋" w:eastAsia="仿宋"/>
          <w:sz w:val="28"/>
          <w:szCs w:val="28"/>
        </w:rPr>
      </w:pPr>
      <w:bookmarkStart w:id="2" w:name="_Toc92457802"/>
      <w:r>
        <w:rPr>
          <w:rFonts w:hint="eastAsia" w:ascii="仿宋" w:hAnsi="仿宋" w:eastAsia="仿宋"/>
          <w:sz w:val="28"/>
          <w:szCs w:val="28"/>
        </w:rPr>
        <w:t>1.学位授权点基本情况</w:t>
      </w:r>
      <w:bookmarkEnd w:id="2"/>
    </w:p>
    <w:p>
      <w:pPr>
        <w:pStyle w:val="6"/>
        <w:tabs>
          <w:tab w:val="left" w:pos="8280"/>
        </w:tabs>
        <w:snapToGrid w:val="0"/>
        <w:spacing w:after="0" w:line="360" w:lineRule="auto"/>
        <w:ind w:right="26" w:firstLine="588" w:firstLineChars="200"/>
        <w:rPr>
          <w:rFonts w:hint="eastAsia" w:ascii="仿宋" w:hAnsi="仿宋" w:eastAsia="仿宋"/>
          <w:spacing w:val="-7"/>
          <w:w w:val="110"/>
          <w:sz w:val="28"/>
          <w:szCs w:val="28"/>
        </w:rPr>
      </w:pPr>
      <w:r>
        <w:rPr>
          <w:rFonts w:hint="eastAsia" w:ascii="仿宋" w:hAnsi="仿宋" w:eastAsia="仿宋"/>
          <w:spacing w:val="-7"/>
          <w:w w:val="110"/>
          <w:sz w:val="28"/>
          <w:szCs w:val="28"/>
        </w:rPr>
        <w:t>本学位点相关课程教学始于1958年，1986年建经济管理系，2004年招收首届硕士研究生，2006年被评为湖南省省级重点学科，同年，获批产业经济学二级学科硕士学位授权点，2010年获批应用经济学一级学科硕士学位授权点。2013年参与国家特殊需求人才博士项目“生态扶贫”博士人才培养。现依托“武陵山片区扶贫与发展”湖南省普通高校2011协同创新中心、“应用经济学”湖南省重点学科、院士工作站、“村镇银行发展与治理创新</w:t>
      </w:r>
      <w:r>
        <w:rPr>
          <w:rFonts w:ascii="仿宋" w:hAnsi="仿宋" w:eastAsia="仿宋"/>
          <w:spacing w:val="-7"/>
          <w:w w:val="110"/>
          <w:sz w:val="28"/>
          <w:szCs w:val="28"/>
        </w:rPr>
        <w:t>”</w:t>
      </w:r>
      <w:r>
        <w:rPr>
          <w:rFonts w:hint="eastAsia" w:ascii="仿宋" w:hAnsi="仿宋" w:eastAsia="仿宋"/>
          <w:spacing w:val="-7"/>
          <w:w w:val="110"/>
          <w:sz w:val="28"/>
          <w:szCs w:val="28"/>
        </w:rPr>
        <w:t>湖南省研究生培养创新基地等11个省级重点平台进行学科发展与学生培养，具有较深厚的学科建设基础与较丰富的研究生培养管理经验。</w:t>
      </w:r>
      <w:r>
        <w:rPr>
          <w:rFonts w:hint="eastAsia" w:ascii="仿宋" w:hAnsi="仿宋" w:eastAsia="仿宋"/>
          <w:spacing w:val="-7"/>
          <w:w w:val="110"/>
          <w:sz w:val="28"/>
          <w:szCs w:val="28"/>
          <w:lang w:val="en-US" w:eastAsia="zh-CN"/>
        </w:rPr>
        <w:t>目前已</w:t>
      </w:r>
      <w:r>
        <w:rPr>
          <w:rFonts w:hint="eastAsia" w:ascii="仿宋" w:hAnsi="仿宋" w:eastAsia="仿宋"/>
          <w:spacing w:val="-7"/>
          <w:w w:val="110"/>
          <w:sz w:val="28"/>
          <w:szCs w:val="28"/>
        </w:rPr>
        <w:t>形成了区域经济学、产业经济学、金融学、经济统计学4个主干学科方向，其中，产业经济学研究方向中关于民族地区旅游产业的研究在国内形成了较大影响；区域经济学研究方向中关于民族地区</w:t>
      </w:r>
      <w:r>
        <w:rPr>
          <w:rFonts w:hint="eastAsia" w:ascii="仿宋" w:hAnsi="仿宋" w:eastAsia="仿宋"/>
          <w:spacing w:val="-7"/>
          <w:w w:val="110"/>
          <w:sz w:val="28"/>
          <w:szCs w:val="28"/>
          <w:lang w:val="en-US" w:eastAsia="zh-CN"/>
        </w:rPr>
        <w:t>省际</w:t>
      </w:r>
      <w:r>
        <w:rPr>
          <w:rFonts w:hint="eastAsia" w:ascii="仿宋" w:hAnsi="仿宋" w:eastAsia="仿宋"/>
          <w:spacing w:val="-7"/>
          <w:w w:val="110"/>
          <w:sz w:val="28"/>
          <w:szCs w:val="28"/>
        </w:rPr>
        <w:t>交界地域经济协同发展</w:t>
      </w:r>
      <w:r>
        <w:rPr>
          <w:rFonts w:hint="eastAsia" w:ascii="仿宋" w:hAnsi="仿宋" w:eastAsia="仿宋"/>
          <w:spacing w:val="-7"/>
          <w:w w:val="110"/>
          <w:sz w:val="28"/>
          <w:szCs w:val="28"/>
          <w:lang w:eastAsia="zh-CN"/>
        </w:rPr>
        <w:t>、</w:t>
      </w:r>
      <w:r>
        <w:rPr>
          <w:rFonts w:hint="eastAsia" w:ascii="仿宋" w:hAnsi="仿宋" w:eastAsia="仿宋"/>
          <w:spacing w:val="-7"/>
          <w:w w:val="110"/>
          <w:sz w:val="28"/>
          <w:szCs w:val="28"/>
          <w:lang w:val="en-US" w:eastAsia="zh-CN"/>
        </w:rPr>
        <w:t>连片特困区（欠发达地区）减贫与发展</w:t>
      </w:r>
      <w:r>
        <w:rPr>
          <w:rFonts w:hint="eastAsia" w:ascii="仿宋" w:hAnsi="仿宋" w:eastAsia="仿宋"/>
          <w:spacing w:val="-7"/>
          <w:w w:val="110"/>
          <w:sz w:val="28"/>
          <w:szCs w:val="28"/>
        </w:rPr>
        <w:t>研究</w:t>
      </w:r>
      <w:r>
        <w:rPr>
          <w:rFonts w:hint="eastAsia" w:ascii="仿宋" w:hAnsi="仿宋" w:eastAsia="仿宋"/>
          <w:spacing w:val="-7"/>
          <w:w w:val="110"/>
          <w:sz w:val="28"/>
          <w:szCs w:val="28"/>
          <w:lang w:val="en-US" w:eastAsia="zh-CN"/>
        </w:rPr>
        <w:t>有较高知名度</w:t>
      </w:r>
      <w:r>
        <w:rPr>
          <w:rFonts w:hint="eastAsia" w:ascii="仿宋" w:hAnsi="仿宋" w:eastAsia="仿宋"/>
          <w:spacing w:val="-7"/>
          <w:w w:val="110"/>
          <w:sz w:val="28"/>
          <w:szCs w:val="28"/>
        </w:rPr>
        <w:t>。</w:t>
      </w:r>
      <w:bookmarkStart w:id="3" w:name="_Toc92457803"/>
    </w:p>
    <w:p>
      <w:pPr>
        <w:pStyle w:val="6"/>
        <w:tabs>
          <w:tab w:val="left" w:pos="8280"/>
        </w:tabs>
        <w:snapToGrid w:val="0"/>
        <w:spacing w:after="0" w:line="360" w:lineRule="auto"/>
        <w:ind w:right="26" w:firstLine="588" w:firstLineChars="200"/>
        <w:rPr>
          <w:rFonts w:hint="eastAsia" w:ascii="仿宋" w:hAnsi="仿宋" w:eastAsia="仿宋" w:cs="Times New Roman"/>
          <w:b w:val="0"/>
          <w:bCs w:val="0"/>
          <w:spacing w:val="-7"/>
          <w:w w:val="110"/>
          <w:kern w:val="2"/>
          <w:sz w:val="28"/>
          <w:szCs w:val="28"/>
          <w:lang w:val="en-US" w:eastAsia="zh-CN" w:bidi="ar-SA"/>
        </w:rPr>
      </w:pPr>
      <w:r>
        <w:rPr>
          <w:rFonts w:hint="eastAsia" w:ascii="仿宋" w:hAnsi="仿宋" w:eastAsia="仿宋" w:cs="Times New Roman"/>
          <w:b w:val="0"/>
          <w:bCs w:val="0"/>
          <w:spacing w:val="-7"/>
          <w:w w:val="110"/>
          <w:kern w:val="2"/>
          <w:sz w:val="28"/>
          <w:szCs w:val="28"/>
          <w:lang w:val="en-US" w:eastAsia="zh-CN" w:bidi="ar-SA"/>
        </w:rPr>
        <w:t>本学位点立足于服务西部地区、民族地区经济社会发展，是武陵山片区学科实力最强、影响最大的应用经济学科，也是湖南省重点学科和一流建设学科，教育部国家特殊需求博士项目主建学科，学位点依托的经济学本科专业为国家一流本科专业建设点。学位点致力于培养具备经世济民情怀和务实作风，敢担当、愿吃苦、勤调研、能创新、善作为，且熟悉连片欠发达地区经济社会发展实际的经济管理人才，具有较深厚的学科建设基础和丰富的研究生培养管理经验。</w:t>
      </w:r>
    </w:p>
    <w:p>
      <w:pPr>
        <w:pStyle w:val="4"/>
        <w:snapToGrid w:val="0"/>
        <w:spacing w:before="0" w:after="0" w:line="360" w:lineRule="auto"/>
        <w:ind w:firstLine="562" w:firstLineChars="200"/>
        <w:rPr>
          <w:rFonts w:ascii="仿宋" w:hAnsi="仿宋" w:eastAsia="仿宋"/>
          <w:sz w:val="28"/>
          <w:szCs w:val="28"/>
        </w:rPr>
      </w:pPr>
      <w:r>
        <w:rPr>
          <w:rFonts w:hint="eastAsia" w:ascii="仿宋" w:hAnsi="仿宋" w:eastAsia="仿宋"/>
          <w:sz w:val="28"/>
          <w:szCs w:val="28"/>
        </w:rPr>
        <w:t>2.学位授权点建设情况</w:t>
      </w:r>
      <w:bookmarkEnd w:id="3"/>
    </w:p>
    <w:p>
      <w:pPr>
        <w:pStyle w:val="6"/>
        <w:tabs>
          <w:tab w:val="left" w:pos="8280"/>
        </w:tabs>
        <w:snapToGrid w:val="0"/>
        <w:spacing w:after="0" w:line="360" w:lineRule="auto"/>
        <w:ind w:right="26" w:firstLine="588" w:firstLineChars="200"/>
        <w:rPr>
          <w:rFonts w:hint="eastAsia" w:ascii="仿宋" w:hAnsi="仿宋" w:eastAsia="仿宋"/>
          <w:spacing w:val="-7"/>
          <w:w w:val="110"/>
          <w:sz w:val="28"/>
          <w:szCs w:val="28"/>
          <w:lang w:eastAsia="zh-CN"/>
        </w:rPr>
      </w:pPr>
      <w:r>
        <w:rPr>
          <w:rFonts w:hint="eastAsia" w:ascii="仿宋" w:hAnsi="仿宋" w:eastAsia="仿宋"/>
          <w:spacing w:val="-7"/>
          <w:w w:val="110"/>
          <w:sz w:val="28"/>
          <w:szCs w:val="28"/>
        </w:rPr>
        <w:t>本学位点全面落实立德树人根本任务，育人为本，德育为先，致力于培养掌握扎实的应用经济学基础理论、现代前沿研究方法和工具，具有国际视野、人文素养、经济思维、理论和实践创新能力，能够理论联系实际，开展规范实证研究，提出解决实际问题方案的高水平经济类人才。主要有四个研究方向</w:t>
      </w:r>
      <w:r>
        <w:rPr>
          <w:rFonts w:hint="eastAsia" w:ascii="仿宋" w:hAnsi="仿宋" w:eastAsia="仿宋"/>
          <w:spacing w:val="-7"/>
          <w:w w:val="110"/>
          <w:sz w:val="28"/>
          <w:szCs w:val="28"/>
          <w:lang w:eastAsia="zh-CN"/>
        </w:rPr>
        <w:t>：</w:t>
      </w:r>
    </w:p>
    <w:p>
      <w:pPr>
        <w:pStyle w:val="6"/>
        <w:tabs>
          <w:tab w:val="left" w:pos="8280"/>
        </w:tabs>
        <w:snapToGrid w:val="0"/>
        <w:spacing w:after="0" w:line="360" w:lineRule="auto"/>
        <w:ind w:right="26" w:firstLine="588" w:firstLineChars="200"/>
        <w:rPr>
          <w:rFonts w:hint="eastAsia" w:ascii="仿宋" w:hAnsi="仿宋" w:eastAsia="仿宋"/>
          <w:spacing w:val="-7"/>
          <w:w w:val="110"/>
          <w:sz w:val="28"/>
          <w:szCs w:val="28"/>
        </w:rPr>
      </w:pPr>
      <w:r>
        <w:rPr>
          <w:rFonts w:hint="eastAsia" w:ascii="仿宋" w:hAnsi="仿宋" w:eastAsia="仿宋"/>
          <w:spacing w:val="-7"/>
          <w:w w:val="110"/>
          <w:sz w:val="28"/>
          <w:szCs w:val="28"/>
        </w:rPr>
        <w:t>（1）区域经济学。本方向围绕区域经济领域的相关问题展开研究，主要涉及区域经济理论前沿、区域发展战略与政策、区际经济竞合与协同发展、区域经济空间结构演变等，并结合西部地区、民族地区实际研究区域可持续发展、绿色发展、数字化发展以及特殊类型区域发展等专题问题。</w:t>
      </w:r>
    </w:p>
    <w:p>
      <w:pPr>
        <w:pStyle w:val="6"/>
        <w:tabs>
          <w:tab w:val="left" w:pos="8280"/>
        </w:tabs>
        <w:snapToGrid w:val="0"/>
        <w:spacing w:after="0" w:line="360" w:lineRule="auto"/>
        <w:ind w:right="26" w:firstLine="588" w:firstLineChars="200"/>
        <w:rPr>
          <w:rFonts w:hint="eastAsia" w:ascii="仿宋" w:hAnsi="仿宋" w:eastAsia="仿宋"/>
          <w:spacing w:val="-7"/>
          <w:w w:val="110"/>
          <w:sz w:val="28"/>
          <w:szCs w:val="28"/>
        </w:rPr>
      </w:pPr>
      <w:r>
        <w:rPr>
          <w:rFonts w:hint="eastAsia" w:ascii="仿宋" w:hAnsi="仿宋" w:eastAsia="仿宋"/>
          <w:spacing w:val="-7"/>
          <w:w w:val="110"/>
          <w:sz w:val="28"/>
          <w:szCs w:val="28"/>
        </w:rPr>
        <w:t>（</w:t>
      </w:r>
      <w:r>
        <w:rPr>
          <w:rFonts w:ascii="仿宋" w:hAnsi="仿宋" w:eastAsia="仿宋"/>
          <w:spacing w:val="-7"/>
          <w:w w:val="110"/>
          <w:sz w:val="28"/>
          <w:szCs w:val="28"/>
        </w:rPr>
        <w:t>2</w:t>
      </w:r>
      <w:r>
        <w:rPr>
          <w:rFonts w:hint="eastAsia" w:ascii="仿宋" w:hAnsi="仿宋" w:eastAsia="仿宋"/>
          <w:spacing w:val="-7"/>
          <w:w w:val="110"/>
          <w:sz w:val="28"/>
          <w:szCs w:val="28"/>
        </w:rPr>
        <w:t>）产业经济学。本方向围绕产业经济领域的相关问题展开研究，主要涉及产业经济理论前沿、产业发展战略与政策，以及产业集群、产业融合、产业结构、新兴产业、数字产业等专题问题，并重点关注西部地区、民族地区的文旅产业、农林产业等特色产业发展以及数字化转型问题。</w:t>
      </w:r>
    </w:p>
    <w:p>
      <w:pPr>
        <w:pStyle w:val="6"/>
        <w:tabs>
          <w:tab w:val="left" w:pos="8280"/>
        </w:tabs>
        <w:snapToGrid w:val="0"/>
        <w:spacing w:after="0" w:line="360" w:lineRule="auto"/>
        <w:ind w:right="26" w:firstLine="588" w:firstLineChars="200"/>
        <w:rPr>
          <w:rFonts w:ascii="仿宋" w:hAnsi="仿宋" w:eastAsia="仿宋"/>
          <w:spacing w:val="-7"/>
          <w:w w:val="110"/>
          <w:sz w:val="28"/>
          <w:szCs w:val="28"/>
        </w:rPr>
      </w:pPr>
      <w:r>
        <w:rPr>
          <w:rFonts w:hint="eastAsia" w:ascii="仿宋" w:hAnsi="仿宋" w:eastAsia="仿宋"/>
          <w:spacing w:val="-7"/>
          <w:w w:val="110"/>
          <w:sz w:val="28"/>
          <w:szCs w:val="28"/>
        </w:rPr>
        <w:t>（</w:t>
      </w:r>
      <w:r>
        <w:rPr>
          <w:rFonts w:ascii="仿宋" w:hAnsi="仿宋" w:eastAsia="仿宋"/>
          <w:spacing w:val="-7"/>
          <w:w w:val="110"/>
          <w:sz w:val="28"/>
          <w:szCs w:val="28"/>
        </w:rPr>
        <w:t>3</w:t>
      </w:r>
      <w:r>
        <w:rPr>
          <w:rFonts w:hint="eastAsia" w:ascii="仿宋" w:hAnsi="仿宋" w:eastAsia="仿宋"/>
          <w:spacing w:val="-7"/>
          <w:w w:val="110"/>
          <w:sz w:val="28"/>
          <w:szCs w:val="28"/>
        </w:rPr>
        <w:t>）</w:t>
      </w:r>
      <w:r>
        <w:rPr>
          <w:rFonts w:ascii="仿宋" w:hAnsi="仿宋" w:eastAsia="仿宋"/>
          <w:spacing w:val="-7"/>
          <w:w w:val="110"/>
          <w:sz w:val="28"/>
          <w:szCs w:val="28"/>
        </w:rPr>
        <w:t>金融学</w:t>
      </w:r>
      <w:r>
        <w:rPr>
          <w:rFonts w:hint="eastAsia" w:ascii="仿宋" w:hAnsi="仿宋" w:eastAsia="仿宋"/>
          <w:spacing w:val="-7"/>
          <w:w w:val="110"/>
          <w:sz w:val="28"/>
          <w:szCs w:val="28"/>
        </w:rPr>
        <w:t>。本方向围绕金融发展领域中的相关问题展开研究，主要涉及金融学理论前沿以及区域金融发展、金融风险管理、保险行业发展、投融资管理与资本市场运行等，结合西部地区、民族地区金融发展实际研究普惠金融、农村金融、供应链金融、农业保险和数字金融等专题问题。</w:t>
      </w:r>
    </w:p>
    <w:p>
      <w:pPr>
        <w:pStyle w:val="6"/>
        <w:tabs>
          <w:tab w:val="left" w:pos="8280"/>
        </w:tabs>
        <w:snapToGrid w:val="0"/>
        <w:spacing w:after="0" w:line="360" w:lineRule="auto"/>
        <w:ind w:right="26" w:firstLine="588" w:firstLineChars="200"/>
        <w:rPr>
          <w:rFonts w:hint="eastAsia" w:ascii="仿宋" w:hAnsi="仿宋" w:eastAsia="仿宋"/>
          <w:spacing w:val="-7"/>
          <w:w w:val="110"/>
          <w:sz w:val="28"/>
          <w:szCs w:val="28"/>
        </w:rPr>
      </w:pPr>
      <w:r>
        <w:rPr>
          <w:rFonts w:hint="eastAsia" w:ascii="仿宋" w:hAnsi="仿宋" w:eastAsia="仿宋"/>
          <w:spacing w:val="-7"/>
          <w:w w:val="110"/>
          <w:sz w:val="28"/>
          <w:szCs w:val="28"/>
        </w:rPr>
        <w:t>（</w:t>
      </w:r>
      <w:r>
        <w:rPr>
          <w:rFonts w:ascii="仿宋" w:hAnsi="仿宋" w:eastAsia="仿宋"/>
          <w:spacing w:val="-7"/>
          <w:w w:val="110"/>
          <w:sz w:val="28"/>
          <w:szCs w:val="28"/>
        </w:rPr>
        <w:t>4</w:t>
      </w:r>
      <w:r>
        <w:rPr>
          <w:rFonts w:hint="eastAsia" w:ascii="仿宋" w:hAnsi="仿宋" w:eastAsia="仿宋"/>
          <w:spacing w:val="-7"/>
          <w:w w:val="110"/>
          <w:sz w:val="28"/>
          <w:szCs w:val="28"/>
        </w:rPr>
        <w:t>）国民经济学。本方向围绕国民经济领域中的相关问题展开研究，主要涉及国民经济理论前沿、宏观经济政策、国际经济形势、经济可持续发展、数字经济发展等问题，并结合西部地区、民族地区国民经济发展需要开展社会保障、“三农”问题、乡村振兴和数字乡村等专题研究。</w:t>
      </w:r>
    </w:p>
    <w:p>
      <w:pPr>
        <w:pStyle w:val="4"/>
        <w:snapToGrid w:val="0"/>
        <w:spacing w:before="0" w:after="0" w:line="360" w:lineRule="auto"/>
        <w:ind w:firstLine="588" w:firstLineChars="200"/>
        <w:rPr>
          <w:rFonts w:hint="eastAsia" w:ascii="仿宋" w:hAnsi="仿宋" w:eastAsia="仿宋" w:cs="Times New Roman"/>
          <w:b w:val="0"/>
          <w:bCs w:val="0"/>
          <w:spacing w:val="-7"/>
          <w:w w:val="110"/>
          <w:kern w:val="2"/>
          <w:sz w:val="28"/>
          <w:szCs w:val="28"/>
          <w:lang w:val="en-US" w:eastAsia="zh-CN" w:bidi="ar-SA"/>
        </w:rPr>
      </w:pPr>
      <w:bookmarkStart w:id="4" w:name="_Toc92457804"/>
      <w:r>
        <w:rPr>
          <w:rFonts w:hint="eastAsia" w:ascii="仿宋" w:hAnsi="仿宋" w:eastAsia="仿宋" w:cs="Times New Roman"/>
          <w:b w:val="0"/>
          <w:bCs w:val="0"/>
          <w:spacing w:val="-7"/>
          <w:w w:val="110"/>
          <w:kern w:val="2"/>
          <w:sz w:val="28"/>
          <w:szCs w:val="28"/>
          <w:lang w:val="en-US" w:eastAsia="zh-CN" w:bidi="ar-SA"/>
        </w:rPr>
        <w:t>本年度，学位点积极到省内外高校考察和交流合作，提升人才培养质量。参加了北京大学经济学院、中央财经大学经济学院、湖南大学经贸学院、湖南大学金融与统计学院、湖南师范大学商学院、南华大学经济管理与法学学院、湖南农业大学商学院、湖南科技大学商学院、湖南工业大学商学院等举办的人才培养与学科建设研讨活动，通过研讨活动进行了学位点建设交流学习。</w:t>
      </w:r>
    </w:p>
    <w:p>
      <w:pPr>
        <w:pStyle w:val="4"/>
        <w:snapToGrid w:val="0"/>
        <w:spacing w:before="0" w:after="0" w:line="360" w:lineRule="auto"/>
        <w:ind w:firstLine="562" w:firstLineChars="200"/>
        <w:rPr>
          <w:rFonts w:ascii="仿宋" w:hAnsi="仿宋" w:eastAsia="仿宋"/>
          <w:sz w:val="28"/>
          <w:szCs w:val="28"/>
        </w:rPr>
      </w:pPr>
      <w:r>
        <w:rPr>
          <w:rFonts w:hint="eastAsia" w:ascii="仿宋" w:hAnsi="仿宋" w:eastAsia="仿宋"/>
          <w:sz w:val="28"/>
          <w:szCs w:val="28"/>
        </w:rPr>
        <w:t>3.研究生招生就业情况</w:t>
      </w:r>
      <w:bookmarkEnd w:id="4"/>
    </w:p>
    <w:p>
      <w:pPr>
        <w:pStyle w:val="6"/>
        <w:tabs>
          <w:tab w:val="left" w:pos="8280"/>
        </w:tabs>
        <w:snapToGrid w:val="0"/>
        <w:spacing w:after="0" w:line="360" w:lineRule="auto"/>
        <w:ind w:right="26" w:firstLine="588" w:firstLineChars="200"/>
        <w:rPr>
          <w:b/>
          <w:bCs/>
          <w:sz w:val="28"/>
          <w:szCs w:val="24"/>
          <w:highlight w:val="yellow"/>
        </w:rPr>
      </w:pPr>
      <w:r>
        <w:rPr>
          <w:rFonts w:hint="eastAsia" w:ascii="仿宋" w:hAnsi="仿宋" w:eastAsia="仿宋"/>
          <w:spacing w:val="-7"/>
          <w:w w:val="110"/>
          <w:sz w:val="28"/>
          <w:szCs w:val="28"/>
          <w:lang w:val="en-US" w:eastAsia="zh-CN"/>
        </w:rPr>
        <w:t>本学位点</w:t>
      </w:r>
      <w:r>
        <w:rPr>
          <w:rFonts w:hint="eastAsia" w:ascii="仿宋" w:hAnsi="仿宋" w:eastAsia="仿宋"/>
          <w:spacing w:val="-7"/>
          <w:w w:val="110"/>
          <w:sz w:val="28"/>
          <w:szCs w:val="28"/>
        </w:rPr>
        <w:t>积极进行招生宣传活动，发布了多</w:t>
      </w:r>
      <w:r>
        <w:rPr>
          <w:rFonts w:hint="eastAsia" w:ascii="仿宋" w:hAnsi="仿宋" w:eastAsia="仿宋"/>
          <w:spacing w:val="-7"/>
          <w:w w:val="110"/>
          <w:sz w:val="28"/>
          <w:szCs w:val="28"/>
          <w:lang w:val="en-US" w:eastAsia="zh-CN"/>
        </w:rPr>
        <w:t>篇</w:t>
      </w:r>
      <w:r>
        <w:rPr>
          <w:rFonts w:hint="eastAsia" w:ascii="仿宋" w:hAnsi="仿宋" w:eastAsia="仿宋"/>
          <w:spacing w:val="-7"/>
          <w:w w:val="110"/>
          <w:sz w:val="28"/>
          <w:szCs w:val="28"/>
        </w:rPr>
        <w:t>研究生招生和调剂的微信推文，本年度共招生</w:t>
      </w:r>
      <w:r>
        <w:rPr>
          <w:rFonts w:hint="eastAsia" w:ascii="仿宋" w:hAnsi="仿宋" w:eastAsia="仿宋"/>
          <w:spacing w:val="-7"/>
          <w:w w:val="110"/>
          <w:sz w:val="28"/>
          <w:szCs w:val="28"/>
          <w:lang w:val="en-US" w:eastAsia="zh-CN"/>
        </w:rPr>
        <w:t>18</w:t>
      </w:r>
      <w:r>
        <w:rPr>
          <w:rFonts w:hint="eastAsia" w:ascii="仿宋" w:hAnsi="仿宋" w:eastAsia="仿宋"/>
          <w:spacing w:val="-7"/>
          <w:w w:val="110"/>
          <w:sz w:val="28"/>
          <w:szCs w:val="28"/>
        </w:rPr>
        <w:t>名研究生，毕业</w:t>
      </w:r>
      <w:r>
        <w:rPr>
          <w:rFonts w:hint="eastAsia" w:ascii="仿宋" w:hAnsi="仿宋" w:eastAsia="仿宋"/>
          <w:spacing w:val="-7"/>
          <w:w w:val="110"/>
          <w:sz w:val="28"/>
          <w:szCs w:val="28"/>
          <w:lang w:val="en-US" w:eastAsia="zh-CN"/>
        </w:rPr>
        <w:t>19</w:t>
      </w:r>
      <w:r>
        <w:rPr>
          <w:rFonts w:hint="eastAsia" w:ascii="仿宋" w:hAnsi="仿宋" w:eastAsia="仿宋"/>
          <w:spacing w:val="-7"/>
          <w:w w:val="110"/>
          <w:sz w:val="28"/>
          <w:szCs w:val="28"/>
        </w:rPr>
        <w:t>名，授予学位</w:t>
      </w:r>
      <w:r>
        <w:rPr>
          <w:rFonts w:hint="eastAsia" w:ascii="仿宋" w:hAnsi="仿宋" w:eastAsia="仿宋"/>
          <w:spacing w:val="-7"/>
          <w:w w:val="110"/>
          <w:sz w:val="28"/>
          <w:szCs w:val="28"/>
          <w:lang w:val="en-US" w:eastAsia="zh-CN"/>
        </w:rPr>
        <w:t>19</w:t>
      </w:r>
      <w:r>
        <w:rPr>
          <w:rFonts w:hint="eastAsia" w:ascii="仿宋" w:hAnsi="仿宋" w:eastAsia="仿宋"/>
          <w:spacing w:val="-7"/>
          <w:w w:val="110"/>
          <w:sz w:val="28"/>
          <w:szCs w:val="28"/>
        </w:rPr>
        <w:t>名</w:t>
      </w:r>
      <w:r>
        <w:rPr>
          <w:rFonts w:hint="eastAsia" w:ascii="仿宋" w:hAnsi="仿宋" w:eastAsia="仿宋"/>
          <w:spacing w:val="-7"/>
          <w:w w:val="110"/>
          <w:sz w:val="28"/>
          <w:szCs w:val="28"/>
          <w:lang w:eastAsia="zh-CN"/>
        </w:rPr>
        <w:t>，</w:t>
      </w:r>
      <w:r>
        <w:rPr>
          <w:rFonts w:hint="eastAsia" w:ascii="仿宋" w:hAnsi="仿宋" w:eastAsia="仿宋"/>
          <w:spacing w:val="-7"/>
          <w:w w:val="110"/>
          <w:sz w:val="28"/>
          <w:szCs w:val="28"/>
        </w:rPr>
        <w:t>现有在校研究生数量为</w:t>
      </w:r>
      <w:r>
        <w:rPr>
          <w:rFonts w:hint="eastAsia" w:ascii="仿宋" w:hAnsi="仿宋" w:eastAsia="仿宋"/>
          <w:spacing w:val="-7"/>
          <w:w w:val="110"/>
          <w:sz w:val="28"/>
          <w:szCs w:val="28"/>
          <w:lang w:val="en-US" w:eastAsia="zh-CN"/>
        </w:rPr>
        <w:t>51</w:t>
      </w:r>
      <w:r>
        <w:rPr>
          <w:rFonts w:hint="eastAsia" w:ascii="仿宋" w:hAnsi="仿宋" w:eastAsia="仿宋"/>
          <w:spacing w:val="-7"/>
          <w:w w:val="110"/>
          <w:sz w:val="28"/>
          <w:szCs w:val="28"/>
        </w:rPr>
        <w:t>名</w:t>
      </w:r>
      <w:r>
        <w:rPr>
          <w:rFonts w:hint="eastAsia" w:ascii="仿宋" w:hAnsi="仿宋" w:eastAsia="仿宋"/>
          <w:spacing w:val="-7"/>
          <w:w w:val="110"/>
          <w:sz w:val="28"/>
          <w:szCs w:val="28"/>
          <w:lang w:eastAsia="zh-CN"/>
        </w:rPr>
        <w:t>，</w:t>
      </w:r>
      <w:r>
        <w:rPr>
          <w:rFonts w:hint="eastAsia" w:ascii="仿宋" w:hAnsi="仿宋" w:eastAsia="仿宋"/>
          <w:spacing w:val="-7"/>
          <w:w w:val="110"/>
          <w:sz w:val="28"/>
          <w:szCs w:val="28"/>
          <w:lang w:val="en-US" w:eastAsia="zh-CN"/>
        </w:rPr>
        <w:t>2021级16名，2022级17名，2023级18名</w:t>
      </w:r>
      <w:r>
        <w:rPr>
          <w:rFonts w:hint="eastAsia" w:ascii="仿宋" w:hAnsi="仿宋" w:eastAsia="仿宋"/>
          <w:spacing w:val="-7"/>
          <w:w w:val="110"/>
          <w:sz w:val="28"/>
          <w:szCs w:val="28"/>
          <w:lang w:eastAsia="zh-CN"/>
        </w:rPr>
        <w:t>。</w:t>
      </w:r>
      <w:r>
        <w:rPr>
          <w:rFonts w:hint="eastAsia" w:ascii="仿宋" w:hAnsi="仿宋" w:eastAsia="仿宋"/>
          <w:spacing w:val="-7"/>
          <w:w w:val="110"/>
          <w:sz w:val="28"/>
          <w:szCs w:val="28"/>
          <w:lang w:val="en-US" w:eastAsia="zh-CN"/>
        </w:rPr>
        <w:t>其中男生18名，女生33名；少数民族中，满族1人，苗族1人，土家族2人；中共党员17名，预备党员1名。</w:t>
      </w:r>
    </w:p>
    <w:p>
      <w:pPr>
        <w:pStyle w:val="6"/>
        <w:tabs>
          <w:tab w:val="left" w:pos="8280"/>
        </w:tabs>
        <w:snapToGrid w:val="0"/>
        <w:spacing w:after="0" w:line="360" w:lineRule="auto"/>
        <w:ind w:right="26" w:firstLine="588" w:firstLineChars="200"/>
        <w:rPr>
          <w:rFonts w:hint="eastAsia"/>
          <w:b/>
          <w:bCs/>
          <w:sz w:val="28"/>
          <w:szCs w:val="24"/>
          <w:highlight w:val="yellow"/>
        </w:rPr>
      </w:pPr>
      <w:r>
        <w:rPr>
          <w:rFonts w:hint="eastAsia" w:ascii="仿宋" w:hAnsi="仿宋" w:eastAsia="仿宋"/>
          <w:color w:val="auto"/>
          <w:spacing w:val="-7"/>
          <w:w w:val="110"/>
          <w:sz w:val="28"/>
          <w:szCs w:val="28"/>
        </w:rPr>
        <w:t>本年度毕业1</w:t>
      </w:r>
      <w:r>
        <w:rPr>
          <w:rFonts w:hint="eastAsia" w:ascii="仿宋" w:hAnsi="仿宋" w:eastAsia="仿宋"/>
          <w:color w:val="auto"/>
          <w:spacing w:val="-7"/>
          <w:w w:val="110"/>
          <w:sz w:val="28"/>
          <w:szCs w:val="28"/>
          <w:lang w:val="en-US" w:eastAsia="zh-CN"/>
        </w:rPr>
        <w:t>9</w:t>
      </w:r>
      <w:r>
        <w:rPr>
          <w:rFonts w:hint="eastAsia" w:ascii="仿宋" w:hAnsi="仿宋" w:eastAsia="仿宋"/>
          <w:color w:val="auto"/>
          <w:spacing w:val="-7"/>
          <w:w w:val="110"/>
          <w:sz w:val="28"/>
          <w:szCs w:val="28"/>
        </w:rPr>
        <w:t>名研究生实现就业率</w:t>
      </w:r>
      <w:r>
        <w:rPr>
          <w:rFonts w:hint="eastAsia" w:ascii="仿宋" w:hAnsi="仿宋" w:eastAsia="仿宋"/>
          <w:color w:val="auto"/>
          <w:spacing w:val="-7"/>
          <w:w w:val="110"/>
          <w:sz w:val="28"/>
          <w:szCs w:val="28"/>
          <w:lang w:val="en-US" w:eastAsia="zh-CN"/>
        </w:rPr>
        <w:t>100</w:t>
      </w:r>
      <w:r>
        <w:rPr>
          <w:rFonts w:hint="eastAsia" w:ascii="仿宋" w:hAnsi="仿宋" w:eastAsia="仿宋"/>
          <w:color w:val="auto"/>
          <w:spacing w:val="-7"/>
          <w:w w:val="110"/>
          <w:sz w:val="28"/>
          <w:szCs w:val="28"/>
        </w:rPr>
        <w:t>%，其中</w:t>
      </w:r>
      <w:r>
        <w:rPr>
          <w:rFonts w:hint="eastAsia" w:ascii="仿宋" w:hAnsi="仿宋" w:eastAsia="仿宋"/>
          <w:color w:val="auto"/>
          <w:spacing w:val="-7"/>
          <w:w w:val="110"/>
          <w:sz w:val="28"/>
          <w:szCs w:val="28"/>
          <w:lang w:val="en-US" w:eastAsia="zh-CN"/>
        </w:rPr>
        <w:t>1</w:t>
      </w:r>
      <w:r>
        <w:rPr>
          <w:rFonts w:hint="eastAsia" w:ascii="仿宋" w:hAnsi="仿宋" w:eastAsia="仿宋"/>
          <w:color w:val="auto"/>
          <w:spacing w:val="-7"/>
          <w:w w:val="110"/>
          <w:sz w:val="28"/>
          <w:szCs w:val="28"/>
        </w:rPr>
        <w:t>名研究生考上</w:t>
      </w:r>
      <w:r>
        <w:rPr>
          <w:rFonts w:hint="eastAsia" w:ascii="仿宋" w:hAnsi="仿宋" w:eastAsia="仿宋"/>
          <w:color w:val="auto"/>
          <w:spacing w:val="-7"/>
          <w:w w:val="110"/>
          <w:sz w:val="28"/>
          <w:szCs w:val="28"/>
          <w:lang w:val="en-US" w:eastAsia="zh-CN"/>
        </w:rPr>
        <w:t>青岛大学</w:t>
      </w:r>
      <w:r>
        <w:rPr>
          <w:rFonts w:hint="eastAsia" w:ascii="仿宋" w:hAnsi="仿宋" w:eastAsia="仿宋"/>
          <w:color w:val="auto"/>
          <w:spacing w:val="-7"/>
          <w:w w:val="110"/>
          <w:sz w:val="28"/>
          <w:szCs w:val="28"/>
        </w:rPr>
        <w:t>攻读博士学位，</w:t>
      </w:r>
      <w:r>
        <w:rPr>
          <w:rFonts w:hint="eastAsia" w:ascii="仿宋" w:hAnsi="仿宋" w:eastAsia="仿宋"/>
          <w:color w:val="auto"/>
          <w:spacing w:val="-7"/>
          <w:w w:val="110"/>
          <w:sz w:val="28"/>
          <w:szCs w:val="28"/>
          <w:lang w:val="en-US" w:eastAsia="zh-CN"/>
        </w:rPr>
        <w:t>3名研究生通过公务员高层次人才选拔进入政府机关工作，1名研究生通过事业单位选拔进入湖南工程学院工作，7</w:t>
      </w:r>
      <w:r>
        <w:rPr>
          <w:rFonts w:hint="eastAsia" w:ascii="仿宋" w:hAnsi="仿宋" w:eastAsia="仿宋"/>
          <w:color w:val="auto"/>
          <w:spacing w:val="-7"/>
          <w:w w:val="110"/>
          <w:sz w:val="28"/>
          <w:szCs w:val="28"/>
        </w:rPr>
        <w:t>名研究生分别考入</w:t>
      </w:r>
      <w:r>
        <w:rPr>
          <w:rFonts w:hint="eastAsia" w:ascii="仿宋" w:hAnsi="仿宋" w:eastAsia="仿宋"/>
          <w:color w:val="auto"/>
          <w:spacing w:val="-7"/>
          <w:w w:val="110"/>
          <w:sz w:val="28"/>
          <w:szCs w:val="28"/>
          <w:lang w:val="en-US" w:eastAsia="zh-CN"/>
        </w:rPr>
        <w:t>农业银行、交通银行、邮政储蓄银行、工商银行、建设银行、民生银行从事金融类业务，7名研究生选择在深圳、北京、长沙、武汉的企业从事专业相关工作。</w:t>
      </w:r>
      <w:r>
        <w:rPr>
          <w:rFonts w:hint="eastAsia" w:ascii="仿宋" w:hAnsi="仿宋" w:eastAsia="仿宋"/>
          <w:color w:val="auto"/>
          <w:spacing w:val="-7"/>
          <w:w w:val="110"/>
          <w:sz w:val="28"/>
          <w:szCs w:val="28"/>
        </w:rPr>
        <w:t>（表</w:t>
      </w:r>
      <w:r>
        <w:rPr>
          <w:rFonts w:hint="eastAsia" w:ascii="仿宋" w:hAnsi="仿宋" w:eastAsia="仿宋"/>
          <w:color w:val="auto"/>
          <w:spacing w:val="-7"/>
          <w:w w:val="110"/>
          <w:sz w:val="28"/>
          <w:szCs w:val="28"/>
          <w:lang w:val="en-US" w:eastAsia="zh-CN"/>
        </w:rPr>
        <w:t>1</w:t>
      </w:r>
      <w:r>
        <w:rPr>
          <w:rFonts w:hint="eastAsia" w:ascii="仿宋" w:hAnsi="仿宋" w:eastAsia="仿宋"/>
          <w:color w:val="auto"/>
          <w:spacing w:val="-7"/>
          <w:w w:val="110"/>
          <w:sz w:val="28"/>
          <w:szCs w:val="28"/>
        </w:rPr>
        <w:t>）。</w:t>
      </w:r>
    </w:p>
    <w:p>
      <w:pPr>
        <w:snapToGrid w:val="0"/>
        <w:spacing w:line="360" w:lineRule="auto"/>
        <w:ind w:firstLine="500" w:firstLineChars="200"/>
        <w:jc w:val="center"/>
        <w:rPr>
          <w:rFonts w:ascii="仿宋" w:hAnsi="仿宋" w:eastAsia="仿宋"/>
          <w:spacing w:val="-7"/>
          <w:w w:val="110"/>
          <w:sz w:val="28"/>
          <w:szCs w:val="28"/>
        </w:rPr>
      </w:pPr>
      <w:r>
        <w:rPr>
          <w:rFonts w:hint="eastAsia" w:ascii="仿宋" w:hAnsi="仿宋" w:eastAsia="仿宋"/>
          <w:spacing w:val="-7"/>
          <w:w w:val="110"/>
          <w:sz w:val="24"/>
          <w:szCs w:val="24"/>
          <w:lang w:val="en-US" w:eastAsia="zh-CN"/>
        </w:rPr>
        <w:t xml:space="preserve">表1  </w:t>
      </w:r>
      <w:r>
        <w:rPr>
          <w:rFonts w:ascii="仿宋" w:hAnsi="仿宋" w:eastAsia="仿宋"/>
          <w:spacing w:val="-7"/>
          <w:w w:val="110"/>
          <w:sz w:val="24"/>
          <w:szCs w:val="24"/>
        </w:rPr>
        <w:t>2</w:t>
      </w:r>
      <w:r>
        <w:rPr>
          <w:rFonts w:hint="eastAsia" w:ascii="仿宋" w:hAnsi="仿宋" w:eastAsia="仿宋"/>
          <w:spacing w:val="-7"/>
          <w:w w:val="110"/>
          <w:sz w:val="24"/>
          <w:szCs w:val="24"/>
          <w:lang w:val="en-US" w:eastAsia="zh-CN"/>
        </w:rPr>
        <w:t>3</w:t>
      </w:r>
      <w:r>
        <w:rPr>
          <w:rFonts w:hint="eastAsia" w:ascii="仿宋" w:hAnsi="仿宋" w:eastAsia="仿宋"/>
          <w:spacing w:val="-7"/>
          <w:w w:val="110"/>
          <w:sz w:val="24"/>
          <w:szCs w:val="24"/>
        </w:rPr>
        <w:t>届应用经济学毕业生就业情况表</w:t>
      </w:r>
    </w:p>
    <w:tbl>
      <w:tblPr>
        <w:tblStyle w:val="14"/>
        <w:tblW w:w="8430" w:type="dxa"/>
        <w:tblInd w:w="93" w:type="dxa"/>
        <w:tblLayout w:type="autofit"/>
        <w:tblCellMar>
          <w:top w:w="0" w:type="dxa"/>
          <w:left w:w="108" w:type="dxa"/>
          <w:bottom w:w="0" w:type="dxa"/>
          <w:right w:w="108" w:type="dxa"/>
        </w:tblCellMar>
      </w:tblPr>
      <w:tblGrid>
        <w:gridCol w:w="956"/>
        <w:gridCol w:w="3863"/>
        <w:gridCol w:w="2355"/>
        <w:gridCol w:w="1256"/>
      </w:tblGrid>
      <w:tr>
        <w:tblPrEx>
          <w:tblCellMar>
            <w:top w:w="0" w:type="dxa"/>
            <w:left w:w="108" w:type="dxa"/>
            <w:bottom w:w="0" w:type="dxa"/>
            <w:right w:w="108" w:type="dxa"/>
          </w:tblCellMar>
        </w:tblPrEx>
        <w:trPr>
          <w:trHeight w:val="56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 w:hAnsi="仿宋" w:eastAsia="仿宋" w:cs="Times New Roman"/>
                <w:b/>
                <w:bCs/>
                <w:color w:val="auto"/>
                <w:spacing w:val="-7"/>
                <w:w w:val="110"/>
                <w:kern w:val="2"/>
                <w:sz w:val="22"/>
                <w:szCs w:val="22"/>
                <w:lang w:val="en-US" w:eastAsia="zh-CN" w:bidi="ar-SA"/>
              </w:rPr>
            </w:pPr>
            <w:r>
              <w:rPr>
                <w:rFonts w:hint="eastAsia" w:ascii="仿宋" w:hAnsi="仿宋" w:eastAsia="仿宋" w:cs="Times New Roman"/>
                <w:b/>
                <w:bCs/>
                <w:color w:val="auto"/>
                <w:spacing w:val="-7"/>
                <w:w w:val="110"/>
                <w:kern w:val="2"/>
                <w:sz w:val="22"/>
                <w:szCs w:val="22"/>
                <w:lang w:val="en-US" w:eastAsia="zh-CN" w:bidi="ar-SA"/>
              </w:rPr>
              <w:t>姓名</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 w:hAnsi="仿宋" w:eastAsia="仿宋" w:cs="Times New Roman"/>
                <w:b/>
                <w:bCs/>
                <w:color w:val="auto"/>
                <w:spacing w:val="-7"/>
                <w:w w:val="110"/>
                <w:kern w:val="2"/>
                <w:sz w:val="22"/>
                <w:szCs w:val="22"/>
                <w:lang w:val="en-US" w:eastAsia="zh-CN" w:bidi="ar-SA"/>
              </w:rPr>
            </w:pPr>
            <w:r>
              <w:rPr>
                <w:rFonts w:hint="eastAsia" w:ascii="仿宋" w:hAnsi="仿宋" w:eastAsia="仿宋" w:cs="Times New Roman"/>
                <w:b/>
                <w:bCs/>
                <w:color w:val="auto"/>
                <w:spacing w:val="-7"/>
                <w:w w:val="110"/>
                <w:kern w:val="2"/>
                <w:sz w:val="22"/>
                <w:szCs w:val="22"/>
                <w:lang w:val="en-US" w:eastAsia="zh-CN" w:bidi="ar-SA"/>
              </w:rPr>
              <w:t>单位名称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 w:hAnsi="仿宋" w:eastAsia="仿宋" w:cs="Times New Roman"/>
                <w:b/>
                <w:bCs/>
                <w:color w:val="auto"/>
                <w:spacing w:val="-7"/>
                <w:w w:val="110"/>
                <w:kern w:val="2"/>
                <w:sz w:val="22"/>
                <w:szCs w:val="22"/>
                <w:lang w:val="en-US" w:eastAsia="zh-CN" w:bidi="ar-SA"/>
              </w:rPr>
            </w:pPr>
            <w:r>
              <w:rPr>
                <w:rFonts w:hint="eastAsia" w:ascii="仿宋" w:hAnsi="仿宋" w:eastAsia="仿宋" w:cs="Times New Roman"/>
                <w:b/>
                <w:bCs/>
                <w:color w:val="auto"/>
                <w:spacing w:val="-7"/>
                <w:w w:val="110"/>
                <w:kern w:val="2"/>
                <w:sz w:val="22"/>
                <w:szCs w:val="22"/>
                <w:lang w:val="en-US" w:eastAsia="zh-CN" w:bidi="ar-SA"/>
              </w:rPr>
              <w:t>单位所在地</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仿宋" w:hAnsi="仿宋" w:eastAsia="仿宋" w:cs="Times New Roman"/>
                <w:b/>
                <w:bCs/>
                <w:color w:val="auto"/>
                <w:spacing w:val="-7"/>
                <w:w w:val="110"/>
                <w:kern w:val="2"/>
                <w:sz w:val="22"/>
                <w:szCs w:val="22"/>
                <w:lang w:val="en-US" w:eastAsia="zh-CN" w:bidi="ar-SA"/>
              </w:rPr>
            </w:pPr>
            <w:r>
              <w:rPr>
                <w:rFonts w:hint="eastAsia" w:ascii="仿宋" w:hAnsi="仿宋" w:eastAsia="仿宋" w:cs="Times New Roman"/>
                <w:b/>
                <w:bCs/>
                <w:color w:val="auto"/>
                <w:spacing w:val="-7"/>
                <w:w w:val="110"/>
                <w:kern w:val="2"/>
                <w:sz w:val="22"/>
                <w:szCs w:val="22"/>
                <w:lang w:val="en-US" w:eastAsia="zh-CN" w:bidi="ar-SA"/>
              </w:rPr>
              <w:t>单位性质</w:t>
            </w:r>
          </w:p>
        </w:tc>
      </w:tr>
      <w:tr>
        <w:tblPrEx>
          <w:tblCellMar>
            <w:top w:w="0" w:type="dxa"/>
            <w:left w:w="108" w:type="dxa"/>
            <w:bottom w:w="0" w:type="dxa"/>
            <w:right w:w="108" w:type="dxa"/>
          </w:tblCellMar>
        </w:tblPrEx>
        <w:trPr>
          <w:trHeight w:val="56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郑乐伟</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天音通信有限公司</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广东省深圳市福田区</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其他企业</w:t>
            </w:r>
          </w:p>
        </w:tc>
      </w:tr>
      <w:tr>
        <w:tblPrEx>
          <w:tblCellMar>
            <w:top w:w="0" w:type="dxa"/>
            <w:left w:w="108" w:type="dxa"/>
            <w:bottom w:w="0" w:type="dxa"/>
            <w:right w:w="108" w:type="dxa"/>
          </w:tblCellMar>
        </w:tblPrEx>
        <w:trPr>
          <w:trHeight w:val="56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汤露</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深圳市越必智能科技有限公司</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广东省深圳市龙华区</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其他企业</w:t>
            </w:r>
          </w:p>
        </w:tc>
      </w:tr>
      <w:tr>
        <w:tblPrEx>
          <w:tblCellMar>
            <w:top w:w="0" w:type="dxa"/>
            <w:left w:w="108" w:type="dxa"/>
            <w:bottom w:w="0" w:type="dxa"/>
            <w:right w:w="108" w:type="dxa"/>
          </w:tblCellMar>
        </w:tblPrEx>
        <w:trPr>
          <w:trHeight w:val="56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文静</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中国农业银行股份有限公司湖南省分行</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湖南省长沙市芙蓉区</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国有企业</w:t>
            </w:r>
          </w:p>
        </w:tc>
      </w:tr>
      <w:tr>
        <w:tblPrEx>
          <w:tblCellMar>
            <w:top w:w="0" w:type="dxa"/>
            <w:left w:w="108" w:type="dxa"/>
            <w:bottom w:w="0" w:type="dxa"/>
            <w:right w:w="108" w:type="dxa"/>
          </w:tblCellMar>
        </w:tblPrEx>
        <w:trPr>
          <w:trHeight w:val="56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李慧</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国家税务总局湘潭县税务局</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湖南省湘潭县</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机关</w:t>
            </w:r>
          </w:p>
        </w:tc>
      </w:tr>
      <w:tr>
        <w:tblPrEx>
          <w:tblCellMar>
            <w:top w:w="0" w:type="dxa"/>
            <w:left w:w="108" w:type="dxa"/>
            <w:bottom w:w="0" w:type="dxa"/>
            <w:right w:w="108" w:type="dxa"/>
          </w:tblCellMar>
        </w:tblPrEx>
        <w:trPr>
          <w:trHeight w:val="56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王田田</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青岛大学</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山东省青岛市</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升学</w:t>
            </w:r>
          </w:p>
        </w:tc>
      </w:tr>
      <w:tr>
        <w:tblPrEx>
          <w:tblCellMar>
            <w:top w:w="0" w:type="dxa"/>
            <w:left w:w="108" w:type="dxa"/>
            <w:bottom w:w="0" w:type="dxa"/>
            <w:right w:w="108" w:type="dxa"/>
          </w:tblCellMar>
        </w:tblPrEx>
        <w:trPr>
          <w:trHeight w:val="56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王郁涵</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长沙虎家食品科技有限公司</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湖南省长沙市岳麓区</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其他企业</w:t>
            </w:r>
          </w:p>
        </w:tc>
      </w:tr>
      <w:tr>
        <w:tblPrEx>
          <w:tblCellMar>
            <w:top w:w="0" w:type="dxa"/>
            <w:left w:w="108" w:type="dxa"/>
            <w:bottom w:w="0" w:type="dxa"/>
            <w:right w:w="108" w:type="dxa"/>
          </w:tblCellMar>
        </w:tblPrEx>
        <w:trPr>
          <w:trHeight w:val="56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姚爽</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中国邮政储蓄银行股份有限公司邵阳市分行</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湖南省邵阳市大祥区</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国有企业</w:t>
            </w:r>
          </w:p>
        </w:tc>
      </w:tr>
      <w:tr>
        <w:tblPrEx>
          <w:tblCellMar>
            <w:top w:w="0" w:type="dxa"/>
            <w:left w:w="108" w:type="dxa"/>
            <w:bottom w:w="0" w:type="dxa"/>
            <w:right w:w="108" w:type="dxa"/>
          </w:tblCellMar>
        </w:tblPrEx>
        <w:trPr>
          <w:trHeight w:val="56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刘贤</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中国工商银行股份有限公司昆明分行</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云南省昆明市</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国有企业</w:t>
            </w:r>
          </w:p>
        </w:tc>
      </w:tr>
      <w:tr>
        <w:tblPrEx>
          <w:tblCellMar>
            <w:top w:w="0" w:type="dxa"/>
            <w:left w:w="108" w:type="dxa"/>
            <w:bottom w:w="0" w:type="dxa"/>
            <w:right w:w="108" w:type="dxa"/>
          </w:tblCellMar>
        </w:tblPrEx>
        <w:trPr>
          <w:trHeight w:val="56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尹瑾雯</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湖南工程学院</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湖南省湘潭市</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高等学校</w:t>
            </w:r>
          </w:p>
        </w:tc>
      </w:tr>
      <w:tr>
        <w:tblPrEx>
          <w:tblCellMar>
            <w:top w:w="0" w:type="dxa"/>
            <w:left w:w="108" w:type="dxa"/>
            <w:bottom w:w="0" w:type="dxa"/>
            <w:right w:w="108" w:type="dxa"/>
          </w:tblCellMar>
        </w:tblPrEx>
        <w:trPr>
          <w:trHeight w:val="56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黄珍杰</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中国建设银行股份有限公司上海市分行</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上海市浦东新区</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国有企业</w:t>
            </w:r>
          </w:p>
        </w:tc>
      </w:tr>
      <w:tr>
        <w:tblPrEx>
          <w:tblCellMar>
            <w:top w:w="0" w:type="dxa"/>
            <w:left w:w="108" w:type="dxa"/>
            <w:bottom w:w="0" w:type="dxa"/>
            <w:right w:w="108" w:type="dxa"/>
          </w:tblCellMar>
        </w:tblPrEx>
        <w:trPr>
          <w:trHeight w:val="56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周天云子</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长江存储科技有限责任公司</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湖北省武汉市</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其他企业</w:t>
            </w:r>
          </w:p>
        </w:tc>
      </w:tr>
      <w:tr>
        <w:tblPrEx>
          <w:tblCellMar>
            <w:top w:w="0" w:type="dxa"/>
            <w:left w:w="108" w:type="dxa"/>
            <w:bottom w:w="0" w:type="dxa"/>
            <w:right w:w="108" w:type="dxa"/>
          </w:tblCellMar>
        </w:tblPrEx>
        <w:trPr>
          <w:trHeight w:val="56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殷悦</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交通银行股份有限公司湖北省分行</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湖北省武汉市江汉区</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其他企业</w:t>
            </w:r>
          </w:p>
        </w:tc>
      </w:tr>
      <w:tr>
        <w:tblPrEx>
          <w:tblCellMar>
            <w:top w:w="0" w:type="dxa"/>
            <w:left w:w="108" w:type="dxa"/>
            <w:bottom w:w="0" w:type="dxa"/>
            <w:right w:w="108" w:type="dxa"/>
          </w:tblCellMar>
        </w:tblPrEx>
        <w:trPr>
          <w:trHeight w:val="567" w:hRule="atLeast"/>
        </w:trPr>
        <w:tc>
          <w:tcPr>
            <w:tcW w:w="95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王淀坤</w:t>
            </w:r>
          </w:p>
        </w:tc>
        <w:tc>
          <w:tcPr>
            <w:tcW w:w="386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东莞市东阳光实业发展有限公司</w:t>
            </w:r>
          </w:p>
        </w:tc>
        <w:tc>
          <w:tcPr>
            <w:tcW w:w="23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广东省东莞市</w:t>
            </w:r>
          </w:p>
        </w:tc>
        <w:tc>
          <w:tcPr>
            <w:tcW w:w="125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其他企业</w:t>
            </w:r>
          </w:p>
        </w:tc>
      </w:tr>
      <w:tr>
        <w:tblPrEx>
          <w:tblCellMar>
            <w:top w:w="0" w:type="dxa"/>
            <w:left w:w="108" w:type="dxa"/>
            <w:bottom w:w="0" w:type="dxa"/>
            <w:right w:w="108" w:type="dxa"/>
          </w:tblCellMar>
        </w:tblPrEx>
        <w:trPr>
          <w:trHeight w:val="567" w:hRule="atLeast"/>
        </w:trPr>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王乐</w:t>
            </w:r>
          </w:p>
        </w:tc>
        <w:tc>
          <w:tcPr>
            <w:tcW w:w="3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中国民生银行股份有限公司杭州分行</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浙江省杭州市</w:t>
            </w:r>
          </w:p>
        </w:tc>
        <w:tc>
          <w:tcPr>
            <w:tcW w:w="12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其他企业</w:t>
            </w:r>
          </w:p>
        </w:tc>
      </w:tr>
      <w:tr>
        <w:tblPrEx>
          <w:tblCellMar>
            <w:top w:w="0" w:type="dxa"/>
            <w:left w:w="108" w:type="dxa"/>
            <w:bottom w:w="0" w:type="dxa"/>
            <w:right w:w="108" w:type="dxa"/>
          </w:tblCellMar>
        </w:tblPrEx>
        <w:trPr>
          <w:trHeight w:val="567" w:hRule="atLeast"/>
        </w:trPr>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刘艺璇</w:t>
            </w:r>
          </w:p>
        </w:tc>
        <w:tc>
          <w:tcPr>
            <w:tcW w:w="3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立信会计师事务所(特殊普通合伙)北京分所</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北京市海淀区</w:t>
            </w:r>
          </w:p>
        </w:tc>
        <w:tc>
          <w:tcPr>
            <w:tcW w:w="12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其他企业</w:t>
            </w:r>
          </w:p>
        </w:tc>
      </w:tr>
      <w:tr>
        <w:tblPrEx>
          <w:tblCellMar>
            <w:top w:w="0" w:type="dxa"/>
            <w:left w:w="108" w:type="dxa"/>
            <w:bottom w:w="0" w:type="dxa"/>
            <w:right w:w="108" w:type="dxa"/>
          </w:tblCellMar>
        </w:tblPrEx>
        <w:trPr>
          <w:trHeight w:val="567" w:hRule="atLeast"/>
        </w:trPr>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马文祥</w:t>
            </w:r>
          </w:p>
        </w:tc>
        <w:tc>
          <w:tcPr>
            <w:tcW w:w="3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中国工商银行股份有限公司滨州分行</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山东省滨州市</w:t>
            </w:r>
          </w:p>
        </w:tc>
        <w:tc>
          <w:tcPr>
            <w:tcW w:w="12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国有企业</w:t>
            </w:r>
          </w:p>
        </w:tc>
      </w:tr>
      <w:tr>
        <w:tblPrEx>
          <w:tblCellMar>
            <w:top w:w="0" w:type="dxa"/>
            <w:left w:w="108" w:type="dxa"/>
            <w:bottom w:w="0" w:type="dxa"/>
            <w:right w:w="108" w:type="dxa"/>
          </w:tblCellMar>
        </w:tblPrEx>
        <w:trPr>
          <w:trHeight w:val="567" w:hRule="atLeast"/>
        </w:trPr>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杜荣</w:t>
            </w:r>
          </w:p>
        </w:tc>
        <w:tc>
          <w:tcPr>
            <w:tcW w:w="3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深圳麦格米特电气股份有限公司</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广东省深圳市南山区</w:t>
            </w:r>
          </w:p>
        </w:tc>
        <w:tc>
          <w:tcPr>
            <w:tcW w:w="12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其他企业</w:t>
            </w:r>
          </w:p>
        </w:tc>
      </w:tr>
      <w:tr>
        <w:tblPrEx>
          <w:tblCellMar>
            <w:top w:w="0" w:type="dxa"/>
            <w:left w:w="108" w:type="dxa"/>
            <w:bottom w:w="0" w:type="dxa"/>
            <w:right w:w="108" w:type="dxa"/>
          </w:tblCellMar>
        </w:tblPrEx>
        <w:trPr>
          <w:trHeight w:val="567" w:hRule="atLeast"/>
        </w:trPr>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瞿一红</w:t>
            </w:r>
          </w:p>
        </w:tc>
        <w:tc>
          <w:tcPr>
            <w:tcW w:w="3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江苏省淮安市金湖县银涂镇人民政府</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江苏省淮安市</w:t>
            </w:r>
          </w:p>
        </w:tc>
        <w:tc>
          <w:tcPr>
            <w:tcW w:w="12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机关</w:t>
            </w:r>
          </w:p>
        </w:tc>
      </w:tr>
      <w:tr>
        <w:tblPrEx>
          <w:tblCellMar>
            <w:top w:w="0" w:type="dxa"/>
            <w:left w:w="108" w:type="dxa"/>
            <w:bottom w:w="0" w:type="dxa"/>
            <w:right w:w="108" w:type="dxa"/>
          </w:tblCellMar>
        </w:tblPrEx>
        <w:trPr>
          <w:trHeight w:val="567" w:hRule="atLeast"/>
        </w:trPr>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白杏</w:t>
            </w:r>
          </w:p>
        </w:tc>
        <w:tc>
          <w:tcPr>
            <w:tcW w:w="3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国家税务总局娄底市税务局</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湖南省冷水江市</w:t>
            </w:r>
          </w:p>
        </w:tc>
        <w:tc>
          <w:tcPr>
            <w:tcW w:w="12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机关</w:t>
            </w:r>
          </w:p>
        </w:tc>
      </w:tr>
    </w:tbl>
    <w:p>
      <w:pPr>
        <w:pStyle w:val="6"/>
        <w:tabs>
          <w:tab w:val="left" w:pos="8280"/>
        </w:tabs>
        <w:snapToGrid w:val="0"/>
        <w:spacing w:after="0" w:line="360" w:lineRule="auto"/>
        <w:ind w:right="26" w:firstLine="588" w:firstLineChars="200"/>
        <w:rPr>
          <w:rFonts w:ascii="仿宋" w:hAnsi="仿宋" w:eastAsia="仿宋"/>
          <w:spacing w:val="-7"/>
          <w:w w:val="110"/>
          <w:sz w:val="28"/>
          <w:szCs w:val="28"/>
        </w:rPr>
      </w:pPr>
    </w:p>
    <w:p>
      <w:pPr>
        <w:pStyle w:val="4"/>
        <w:snapToGrid w:val="0"/>
        <w:spacing w:before="0" w:after="0" w:line="360" w:lineRule="auto"/>
        <w:ind w:firstLine="562" w:firstLineChars="200"/>
        <w:rPr>
          <w:rFonts w:ascii="仿宋" w:hAnsi="仿宋" w:eastAsia="仿宋"/>
          <w:sz w:val="28"/>
          <w:szCs w:val="28"/>
        </w:rPr>
      </w:pPr>
      <w:bookmarkStart w:id="5" w:name="_Toc92457805"/>
      <w:r>
        <w:rPr>
          <w:rFonts w:ascii="仿宋" w:hAnsi="仿宋" w:eastAsia="仿宋"/>
          <w:sz w:val="28"/>
          <w:szCs w:val="28"/>
        </w:rPr>
        <w:t>4</w:t>
      </w:r>
      <w:r>
        <w:rPr>
          <w:rFonts w:hint="eastAsia" w:ascii="仿宋" w:hAnsi="仿宋" w:eastAsia="仿宋"/>
          <w:sz w:val="28"/>
          <w:szCs w:val="28"/>
        </w:rPr>
        <w:t>.研究生导师状况</w:t>
      </w:r>
      <w:bookmarkEnd w:id="5"/>
    </w:p>
    <w:p>
      <w:pPr>
        <w:snapToGrid w:val="0"/>
        <w:spacing w:line="360" w:lineRule="auto"/>
        <w:ind w:firstLine="588" w:firstLineChars="200"/>
        <w:rPr>
          <w:rFonts w:ascii="仿宋" w:hAnsi="仿宋" w:eastAsia="仿宋"/>
        </w:rPr>
      </w:pPr>
      <w:r>
        <w:rPr>
          <w:rFonts w:hint="eastAsia" w:ascii="仿宋" w:hAnsi="仿宋" w:eastAsia="仿宋"/>
          <w:color w:val="auto"/>
          <w:spacing w:val="-7"/>
          <w:w w:val="110"/>
          <w:sz w:val="28"/>
          <w:szCs w:val="28"/>
        </w:rPr>
        <w:t>学位点现有导师</w:t>
      </w:r>
      <w:r>
        <w:rPr>
          <w:rFonts w:hint="eastAsia" w:ascii="仿宋" w:hAnsi="仿宋" w:eastAsia="仿宋"/>
          <w:color w:val="auto"/>
          <w:spacing w:val="-7"/>
          <w:w w:val="110"/>
          <w:sz w:val="28"/>
          <w:szCs w:val="28"/>
          <w:lang w:val="en-US" w:eastAsia="zh-CN"/>
        </w:rPr>
        <w:t>19</w:t>
      </w:r>
      <w:r>
        <w:rPr>
          <w:rFonts w:hint="eastAsia" w:ascii="仿宋" w:hAnsi="仿宋" w:eastAsia="仿宋"/>
          <w:color w:val="auto"/>
          <w:spacing w:val="-7"/>
          <w:w w:val="110"/>
          <w:sz w:val="28"/>
          <w:szCs w:val="28"/>
        </w:rPr>
        <w:t>名，</w:t>
      </w:r>
      <w:r>
        <w:rPr>
          <w:rFonts w:hint="eastAsia" w:ascii="仿宋" w:hAnsi="仿宋" w:eastAsia="仿宋"/>
          <w:color w:val="auto"/>
          <w:spacing w:val="-7"/>
          <w:w w:val="110"/>
          <w:sz w:val="28"/>
          <w:szCs w:val="28"/>
          <w:lang w:val="en-US" w:eastAsia="zh-CN"/>
        </w:rPr>
        <w:t>其中</w:t>
      </w:r>
      <w:r>
        <w:rPr>
          <w:rFonts w:hint="eastAsia" w:ascii="仿宋" w:hAnsi="仿宋" w:eastAsia="仿宋"/>
          <w:color w:val="auto"/>
          <w:spacing w:val="-7"/>
          <w:w w:val="110"/>
          <w:sz w:val="28"/>
          <w:szCs w:val="28"/>
        </w:rPr>
        <w:t>博士生导师4人，生师比为</w:t>
      </w:r>
      <w:r>
        <w:rPr>
          <w:rFonts w:hint="eastAsia" w:ascii="仿宋" w:hAnsi="仿宋" w:eastAsia="仿宋"/>
          <w:color w:val="auto"/>
          <w:spacing w:val="-7"/>
          <w:w w:val="110"/>
          <w:sz w:val="28"/>
          <w:szCs w:val="28"/>
          <w:lang w:val="en-US" w:eastAsia="zh-CN"/>
        </w:rPr>
        <w:t>2.68</w:t>
      </w:r>
      <w:r>
        <w:rPr>
          <w:rFonts w:hint="eastAsia" w:ascii="仿宋" w:hAnsi="仿宋" w:eastAsia="仿宋"/>
          <w:color w:val="auto"/>
          <w:spacing w:val="-7"/>
          <w:w w:val="110"/>
          <w:sz w:val="28"/>
          <w:szCs w:val="28"/>
        </w:rPr>
        <w:t>：1，其中具有正高级职称导师11名，占比</w:t>
      </w:r>
      <w:r>
        <w:rPr>
          <w:rFonts w:hint="eastAsia" w:ascii="仿宋" w:hAnsi="仿宋" w:eastAsia="仿宋"/>
          <w:color w:val="auto"/>
          <w:spacing w:val="-7"/>
          <w:w w:val="110"/>
          <w:sz w:val="28"/>
          <w:szCs w:val="28"/>
          <w:lang w:val="en-US" w:eastAsia="zh-CN"/>
        </w:rPr>
        <w:t>57.9</w:t>
      </w:r>
      <w:r>
        <w:rPr>
          <w:rFonts w:hint="eastAsia" w:ascii="仿宋" w:hAnsi="仿宋" w:eastAsia="仿宋"/>
          <w:color w:val="auto"/>
          <w:spacing w:val="-7"/>
          <w:w w:val="110"/>
          <w:sz w:val="28"/>
          <w:szCs w:val="28"/>
        </w:rPr>
        <w:t>%，具有博士学历导师1</w:t>
      </w:r>
      <w:r>
        <w:rPr>
          <w:rFonts w:hint="eastAsia" w:ascii="仿宋" w:hAnsi="仿宋" w:eastAsia="仿宋"/>
          <w:color w:val="auto"/>
          <w:spacing w:val="-7"/>
          <w:w w:val="110"/>
          <w:sz w:val="28"/>
          <w:szCs w:val="28"/>
          <w:lang w:val="en-US" w:eastAsia="zh-CN"/>
        </w:rPr>
        <w:t>3</w:t>
      </w:r>
      <w:r>
        <w:rPr>
          <w:rFonts w:hint="eastAsia" w:ascii="仿宋" w:hAnsi="仿宋" w:eastAsia="仿宋"/>
          <w:color w:val="auto"/>
          <w:spacing w:val="-7"/>
          <w:w w:val="110"/>
          <w:sz w:val="28"/>
          <w:szCs w:val="28"/>
        </w:rPr>
        <w:t>名</w:t>
      </w:r>
      <w:r>
        <w:rPr>
          <w:rFonts w:hint="eastAsia" w:ascii="仿宋" w:hAnsi="仿宋" w:eastAsia="仿宋"/>
          <w:color w:val="auto"/>
          <w:spacing w:val="-7"/>
          <w:w w:val="110"/>
          <w:sz w:val="28"/>
          <w:szCs w:val="28"/>
          <w:lang w:eastAsia="zh-CN"/>
        </w:rPr>
        <w:t>，</w:t>
      </w:r>
      <w:r>
        <w:rPr>
          <w:rFonts w:hint="eastAsia" w:ascii="仿宋" w:hAnsi="仿宋" w:eastAsia="仿宋"/>
          <w:color w:val="auto"/>
          <w:spacing w:val="-7"/>
          <w:w w:val="110"/>
          <w:sz w:val="28"/>
          <w:szCs w:val="28"/>
        </w:rPr>
        <w:t>占比</w:t>
      </w:r>
      <w:r>
        <w:rPr>
          <w:rFonts w:hint="eastAsia" w:ascii="仿宋" w:hAnsi="仿宋" w:eastAsia="仿宋"/>
          <w:color w:val="auto"/>
          <w:spacing w:val="-7"/>
          <w:w w:val="110"/>
          <w:sz w:val="28"/>
          <w:szCs w:val="28"/>
          <w:lang w:val="en-US" w:eastAsia="zh-CN"/>
        </w:rPr>
        <w:t>68.42</w:t>
      </w:r>
      <w:r>
        <w:rPr>
          <w:rFonts w:hint="eastAsia" w:ascii="仿宋" w:hAnsi="仿宋" w:eastAsia="仿宋"/>
          <w:color w:val="auto"/>
          <w:spacing w:val="-7"/>
          <w:w w:val="110"/>
          <w:sz w:val="28"/>
          <w:szCs w:val="28"/>
        </w:rPr>
        <w:t>%。教育部新世纪人才计划人选2人，湖南省“百人计划”专家1人，省级学科带头人2人；教师年龄结构以中青年教师为主，学缘结构合理，多来自中山大学、南开大学</w:t>
      </w:r>
      <w:r>
        <w:rPr>
          <w:rFonts w:hint="eastAsia" w:ascii="仿宋" w:hAnsi="仿宋" w:eastAsia="仿宋"/>
          <w:color w:val="auto"/>
          <w:spacing w:val="-7"/>
          <w:w w:val="110"/>
          <w:sz w:val="28"/>
          <w:szCs w:val="28"/>
          <w:lang w:eastAsia="zh-CN"/>
        </w:rPr>
        <w:t>、</w:t>
      </w:r>
      <w:r>
        <w:rPr>
          <w:rFonts w:hint="eastAsia" w:ascii="仿宋" w:hAnsi="仿宋" w:eastAsia="仿宋"/>
          <w:color w:val="auto"/>
          <w:spacing w:val="-7"/>
          <w:w w:val="110"/>
          <w:sz w:val="28"/>
          <w:szCs w:val="28"/>
        </w:rPr>
        <w:t>中南大学、</w:t>
      </w:r>
      <w:r>
        <w:rPr>
          <w:rFonts w:hint="eastAsia" w:ascii="仿宋" w:hAnsi="仿宋" w:eastAsia="仿宋"/>
          <w:color w:val="auto"/>
          <w:spacing w:val="-7"/>
          <w:w w:val="110"/>
          <w:sz w:val="28"/>
          <w:szCs w:val="28"/>
          <w:lang w:val="en-US" w:eastAsia="zh-CN"/>
        </w:rPr>
        <w:t>中央</w:t>
      </w:r>
      <w:r>
        <w:rPr>
          <w:rFonts w:hint="eastAsia" w:ascii="仿宋" w:hAnsi="仿宋" w:eastAsia="仿宋"/>
          <w:color w:val="auto"/>
          <w:spacing w:val="-7"/>
          <w:w w:val="110"/>
          <w:sz w:val="28"/>
          <w:szCs w:val="28"/>
        </w:rPr>
        <w:t>财经大学等国内著名高校。</w:t>
      </w:r>
    </w:p>
    <w:p>
      <w:pPr>
        <w:pStyle w:val="3"/>
        <w:snapToGrid w:val="0"/>
        <w:spacing w:before="0" w:after="0" w:line="360" w:lineRule="auto"/>
        <w:rPr>
          <w:rFonts w:ascii="黑体" w:hAnsi="黑体" w:eastAsia="黑体"/>
          <w:b w:val="0"/>
          <w:bCs w:val="0"/>
        </w:rPr>
      </w:pPr>
      <w:bookmarkStart w:id="6" w:name="_Toc92457806"/>
      <w:r>
        <w:rPr>
          <w:rFonts w:hint="eastAsia" w:ascii="黑体" w:hAnsi="黑体" w:eastAsia="黑体"/>
          <w:b w:val="0"/>
          <w:bCs w:val="0"/>
        </w:rPr>
        <w:t>二、研究生党建与思想政治教育工作</w:t>
      </w:r>
      <w:bookmarkEnd w:id="6"/>
    </w:p>
    <w:p>
      <w:pPr>
        <w:pStyle w:val="4"/>
        <w:snapToGrid w:val="0"/>
        <w:spacing w:before="0" w:after="0" w:line="360" w:lineRule="auto"/>
        <w:ind w:firstLine="618" w:firstLineChars="200"/>
        <w:rPr>
          <w:rFonts w:ascii="仿宋" w:hAnsi="仿宋" w:eastAsia="仿宋"/>
          <w:w w:val="110"/>
          <w:sz w:val="28"/>
          <w:szCs w:val="28"/>
        </w:rPr>
      </w:pPr>
      <w:bookmarkStart w:id="7" w:name="_Toc92457807"/>
      <w:bookmarkStart w:id="8" w:name="_Hlk92201961"/>
      <w:r>
        <w:rPr>
          <w:rFonts w:hint="eastAsia" w:ascii="仿宋" w:hAnsi="仿宋" w:eastAsia="仿宋"/>
          <w:w w:val="110"/>
          <w:sz w:val="28"/>
          <w:szCs w:val="28"/>
        </w:rPr>
        <w:t>1</w:t>
      </w:r>
      <w:r>
        <w:rPr>
          <w:rFonts w:ascii="仿宋" w:hAnsi="仿宋" w:eastAsia="仿宋"/>
          <w:w w:val="110"/>
          <w:sz w:val="28"/>
          <w:szCs w:val="28"/>
        </w:rPr>
        <w:t xml:space="preserve">. </w:t>
      </w:r>
      <w:r>
        <w:rPr>
          <w:rFonts w:hint="eastAsia" w:ascii="仿宋" w:hAnsi="仿宋" w:eastAsia="仿宋"/>
          <w:w w:val="110"/>
          <w:sz w:val="28"/>
          <w:szCs w:val="28"/>
        </w:rPr>
        <w:t>思想政治教育队伍建设</w:t>
      </w:r>
      <w:bookmarkEnd w:id="7"/>
    </w:p>
    <w:p>
      <w:pPr>
        <w:snapToGrid w:val="0"/>
        <w:spacing w:line="360" w:lineRule="auto"/>
        <w:ind w:firstLine="588" w:firstLineChars="200"/>
        <w:jc w:val="left"/>
        <w:rPr>
          <w:rFonts w:hint="eastAsia" w:ascii="仿宋" w:hAnsi="仿宋" w:eastAsia="仿宋"/>
          <w:spacing w:val="-7"/>
          <w:w w:val="110"/>
          <w:sz w:val="28"/>
          <w:szCs w:val="28"/>
        </w:rPr>
      </w:pPr>
      <w:r>
        <w:rPr>
          <w:rFonts w:hint="eastAsia" w:ascii="仿宋" w:hAnsi="仿宋" w:eastAsia="仿宋"/>
          <w:spacing w:val="-7"/>
          <w:w w:val="110"/>
          <w:sz w:val="28"/>
          <w:szCs w:val="28"/>
        </w:rPr>
        <w:t>根据研究生教育管理的需要，成立了以主管研究生思想政治工作的学院党委书记为组长、分管研究生教育培养的院长为副组长、研究生专职秘书、</w:t>
      </w:r>
      <w:r>
        <w:rPr>
          <w:rFonts w:hint="eastAsia" w:ascii="仿宋" w:hAnsi="仿宋" w:eastAsia="仿宋"/>
          <w:spacing w:val="-7"/>
          <w:w w:val="110"/>
          <w:sz w:val="28"/>
          <w:szCs w:val="28"/>
          <w:lang w:val="en-US" w:eastAsia="zh-CN"/>
        </w:rPr>
        <w:t>研究生专干辅导员、</w:t>
      </w:r>
      <w:r>
        <w:rPr>
          <w:rFonts w:hint="eastAsia" w:ascii="仿宋" w:hAnsi="仿宋" w:eastAsia="仿宋"/>
          <w:spacing w:val="-7"/>
          <w:w w:val="110"/>
          <w:sz w:val="28"/>
          <w:szCs w:val="28"/>
        </w:rPr>
        <w:t>研究生导师代表为成员的院研究生思想政治教育工作小组；组建了学院研究生党支部</w:t>
      </w:r>
      <w:r>
        <w:rPr>
          <w:rFonts w:hint="eastAsia" w:ascii="仿宋" w:hAnsi="仿宋" w:eastAsia="仿宋"/>
          <w:spacing w:val="-7"/>
          <w:w w:val="110"/>
          <w:sz w:val="28"/>
          <w:szCs w:val="28"/>
          <w:lang w:eastAsia="zh-CN"/>
        </w:rPr>
        <w:t>、</w:t>
      </w:r>
      <w:r>
        <w:rPr>
          <w:rFonts w:hint="eastAsia" w:ascii="仿宋" w:hAnsi="仿宋" w:eastAsia="仿宋"/>
          <w:spacing w:val="-7"/>
          <w:w w:val="110"/>
          <w:sz w:val="28"/>
          <w:szCs w:val="28"/>
          <w:lang w:val="en-US" w:eastAsia="zh-CN"/>
        </w:rPr>
        <w:t>学生会</w:t>
      </w:r>
      <w:r>
        <w:rPr>
          <w:rFonts w:hint="eastAsia" w:ascii="仿宋" w:hAnsi="仿宋" w:eastAsia="仿宋"/>
          <w:spacing w:val="-7"/>
          <w:w w:val="110"/>
          <w:sz w:val="28"/>
          <w:szCs w:val="28"/>
          <w:lang w:eastAsia="zh-CN"/>
        </w:rPr>
        <w:t>，</w:t>
      </w:r>
      <w:r>
        <w:rPr>
          <w:rFonts w:hint="eastAsia" w:ascii="仿宋" w:hAnsi="仿宋" w:eastAsia="仿宋"/>
          <w:spacing w:val="-7"/>
          <w:w w:val="110"/>
          <w:sz w:val="28"/>
          <w:szCs w:val="28"/>
          <w:lang w:val="en-US" w:eastAsia="zh-CN"/>
        </w:rPr>
        <w:t>各年级</w:t>
      </w:r>
      <w:r>
        <w:rPr>
          <w:rFonts w:hint="eastAsia" w:ascii="仿宋" w:hAnsi="仿宋" w:eastAsia="仿宋"/>
          <w:spacing w:val="-7"/>
          <w:w w:val="110"/>
          <w:sz w:val="28"/>
          <w:szCs w:val="28"/>
        </w:rPr>
        <w:t>班委会、团支部</w:t>
      </w:r>
      <w:r>
        <w:rPr>
          <w:rFonts w:hint="eastAsia" w:ascii="仿宋" w:hAnsi="仿宋" w:eastAsia="仿宋"/>
          <w:spacing w:val="-7"/>
          <w:w w:val="110"/>
          <w:sz w:val="28"/>
          <w:szCs w:val="28"/>
          <w:lang w:eastAsia="zh-CN"/>
        </w:rPr>
        <w:t>，</w:t>
      </w:r>
      <w:r>
        <w:rPr>
          <w:rFonts w:hint="eastAsia" w:ascii="仿宋" w:hAnsi="仿宋" w:eastAsia="仿宋"/>
          <w:spacing w:val="-7"/>
          <w:w w:val="110"/>
          <w:sz w:val="28"/>
          <w:szCs w:val="28"/>
        </w:rPr>
        <w:t>完善了研究生思想政治教育队伍建设。</w:t>
      </w:r>
    </w:p>
    <w:p>
      <w:pPr>
        <w:snapToGrid w:val="0"/>
        <w:spacing w:line="360" w:lineRule="auto"/>
        <w:ind w:firstLine="588" w:firstLineChars="200"/>
        <w:jc w:val="left"/>
      </w:pPr>
      <w:r>
        <w:rPr>
          <w:rFonts w:hint="eastAsia" w:ascii="仿宋" w:hAnsi="仿宋" w:eastAsia="仿宋"/>
          <w:spacing w:val="-7"/>
          <w:w w:val="110"/>
          <w:sz w:val="28"/>
          <w:szCs w:val="28"/>
        </w:rPr>
        <w:t>根据</w:t>
      </w:r>
      <w:r>
        <w:rPr>
          <w:rFonts w:hint="eastAsia" w:ascii="仿宋" w:hAnsi="仿宋" w:eastAsia="仿宋"/>
          <w:spacing w:val="-7"/>
          <w:w w:val="110"/>
          <w:sz w:val="28"/>
          <w:szCs w:val="28"/>
          <w:lang w:val="en-US" w:eastAsia="zh-CN"/>
        </w:rPr>
        <w:t>学院</w:t>
      </w:r>
      <w:r>
        <w:rPr>
          <w:rFonts w:hint="eastAsia" w:ascii="仿宋" w:hAnsi="仿宋" w:eastAsia="仿宋"/>
          <w:spacing w:val="-7"/>
          <w:w w:val="110"/>
          <w:sz w:val="28"/>
          <w:szCs w:val="28"/>
        </w:rPr>
        <w:t>的统一安排部署，</w:t>
      </w:r>
      <w:r>
        <w:rPr>
          <w:rFonts w:hint="eastAsia" w:ascii="仿宋" w:hAnsi="仿宋" w:eastAsia="仿宋"/>
          <w:spacing w:val="-7"/>
          <w:w w:val="110"/>
          <w:sz w:val="28"/>
          <w:szCs w:val="28"/>
          <w:lang w:val="en-US" w:eastAsia="zh-CN"/>
        </w:rPr>
        <w:t>学位点</w:t>
      </w:r>
      <w:r>
        <w:rPr>
          <w:rFonts w:hint="eastAsia" w:ascii="仿宋" w:hAnsi="仿宋" w:eastAsia="仿宋"/>
          <w:spacing w:val="-7"/>
          <w:w w:val="110"/>
          <w:sz w:val="28"/>
          <w:szCs w:val="28"/>
        </w:rPr>
        <w:t>认真扎实开展学习贯彻习近平新时代中国特色社会主义思想主题教育。</w:t>
      </w:r>
      <w:r>
        <w:rPr>
          <w:rFonts w:hint="eastAsia" w:ascii="仿宋" w:hAnsi="仿宋" w:eastAsia="仿宋"/>
          <w:spacing w:val="-7"/>
          <w:w w:val="110"/>
          <w:sz w:val="28"/>
          <w:szCs w:val="28"/>
          <w:lang w:val="en-US" w:eastAsia="zh-CN"/>
        </w:rPr>
        <w:t>研究生第一支部</w:t>
      </w:r>
      <w:r>
        <w:rPr>
          <w:rFonts w:hint="eastAsia" w:ascii="仿宋" w:hAnsi="仿宋" w:eastAsia="仿宋"/>
          <w:spacing w:val="-7"/>
          <w:w w:val="110"/>
          <w:sz w:val="28"/>
          <w:szCs w:val="28"/>
        </w:rPr>
        <w:t>扎实开展“一月一课一片一实践”活动，通过组织党员讲“微党课”、组织学生党员讲述“成长故事”、观看党员专题教育片、开展党员志愿服务、清明节祭扫英烈等活动，有力提升了组织生活的吸引力、影响力和感染力，党员参与度显著提升，以此推动党员积极发挥先锋模范和引领示范作用，积极投身服务师生和建设学院的工作实践中，切实以高质量的组织生活推动基层党建走深走实。</w:t>
      </w:r>
    </w:p>
    <w:p>
      <w:pPr>
        <w:pStyle w:val="4"/>
        <w:snapToGrid w:val="0"/>
        <w:spacing w:before="0" w:after="0" w:line="360" w:lineRule="auto"/>
        <w:ind w:firstLine="618" w:firstLineChars="200"/>
        <w:rPr>
          <w:rFonts w:hint="eastAsia" w:ascii="仿宋" w:hAnsi="仿宋" w:eastAsia="仿宋"/>
          <w:w w:val="110"/>
          <w:sz w:val="28"/>
          <w:szCs w:val="28"/>
        </w:rPr>
      </w:pPr>
      <w:bookmarkStart w:id="9" w:name="_Toc92457808"/>
      <w:r>
        <w:rPr>
          <w:rFonts w:hint="eastAsia" w:ascii="仿宋" w:hAnsi="仿宋" w:eastAsia="仿宋"/>
          <w:w w:val="110"/>
          <w:sz w:val="28"/>
          <w:szCs w:val="28"/>
        </w:rPr>
        <w:t>2</w:t>
      </w:r>
      <w:r>
        <w:rPr>
          <w:rFonts w:ascii="仿宋" w:hAnsi="仿宋" w:eastAsia="仿宋"/>
          <w:w w:val="110"/>
          <w:sz w:val="28"/>
          <w:szCs w:val="28"/>
        </w:rPr>
        <w:t xml:space="preserve">. </w:t>
      </w:r>
      <w:r>
        <w:rPr>
          <w:rFonts w:hint="eastAsia" w:ascii="仿宋" w:hAnsi="仿宋" w:eastAsia="仿宋"/>
          <w:w w:val="110"/>
          <w:sz w:val="28"/>
          <w:szCs w:val="28"/>
        </w:rPr>
        <w:t>理想信念和社会主义核心价值观教育</w:t>
      </w:r>
      <w:bookmarkEnd w:id="9"/>
    </w:p>
    <w:p>
      <w:pPr>
        <w:snapToGrid w:val="0"/>
        <w:spacing w:line="360" w:lineRule="auto"/>
        <w:ind w:firstLine="588" w:firstLineChars="200"/>
        <w:jc w:val="left"/>
        <w:rPr>
          <w:rFonts w:ascii="仿宋" w:hAnsi="仿宋" w:eastAsia="仿宋"/>
          <w:color w:val="auto"/>
          <w:spacing w:val="-7"/>
          <w:w w:val="110"/>
          <w:sz w:val="28"/>
          <w:szCs w:val="28"/>
        </w:rPr>
      </w:pPr>
      <w:r>
        <w:rPr>
          <w:rFonts w:hint="eastAsia" w:ascii="仿宋" w:hAnsi="仿宋" w:eastAsia="仿宋"/>
          <w:spacing w:val="-7"/>
          <w:w w:val="110"/>
          <w:sz w:val="28"/>
          <w:szCs w:val="28"/>
        </w:rPr>
        <w:t>学位点在研究生入学初即开展了</w:t>
      </w:r>
      <w:r>
        <w:rPr>
          <w:rFonts w:hint="eastAsia" w:ascii="仿宋" w:hAnsi="仿宋" w:eastAsia="仿宋"/>
          <w:spacing w:val="-7"/>
          <w:w w:val="110"/>
          <w:sz w:val="28"/>
          <w:szCs w:val="28"/>
          <w:lang w:val="en-US" w:eastAsia="zh-CN"/>
        </w:rPr>
        <w:t>师生交流会暨</w:t>
      </w:r>
      <w:r>
        <w:rPr>
          <w:rFonts w:hint="eastAsia" w:ascii="仿宋" w:hAnsi="仿宋" w:eastAsia="仿宋"/>
          <w:spacing w:val="-7"/>
          <w:w w:val="110"/>
          <w:sz w:val="28"/>
          <w:szCs w:val="28"/>
        </w:rPr>
        <w:t>研究生</w:t>
      </w:r>
      <w:r>
        <w:rPr>
          <w:rFonts w:hint="eastAsia" w:ascii="仿宋" w:hAnsi="仿宋" w:eastAsia="仿宋"/>
          <w:spacing w:val="-7"/>
          <w:w w:val="110"/>
          <w:sz w:val="28"/>
          <w:szCs w:val="28"/>
          <w:lang w:val="en-US" w:eastAsia="zh-CN"/>
        </w:rPr>
        <w:t>思想政治教育与学术道德教育</w:t>
      </w:r>
      <w:r>
        <w:rPr>
          <w:rFonts w:hint="eastAsia" w:ascii="仿宋" w:hAnsi="仿宋" w:eastAsia="仿宋"/>
          <w:spacing w:val="-7"/>
          <w:w w:val="110"/>
          <w:sz w:val="28"/>
          <w:szCs w:val="28"/>
        </w:rPr>
        <w:t>，对师生的理想信念和社会主义核心价值观教育等进行教育</w:t>
      </w:r>
      <w:r>
        <w:rPr>
          <w:rFonts w:hint="eastAsia" w:ascii="仿宋" w:hAnsi="仿宋" w:eastAsia="仿宋"/>
          <w:spacing w:val="-7"/>
          <w:w w:val="110"/>
          <w:sz w:val="28"/>
          <w:szCs w:val="28"/>
          <w:lang w:eastAsia="zh-CN"/>
        </w:rPr>
        <w:t>。</w:t>
      </w:r>
      <w:r>
        <w:rPr>
          <w:rFonts w:hint="eastAsia" w:ascii="仿宋" w:hAnsi="仿宋" w:eastAsia="仿宋"/>
          <w:spacing w:val="-7"/>
          <w:w w:val="110"/>
          <w:sz w:val="28"/>
          <w:szCs w:val="28"/>
          <w:lang w:val="en-US" w:eastAsia="zh-CN"/>
        </w:rPr>
        <w:t>通过学院党委书记、分管院长、教师代表、学生代表发言，从不同角度</w:t>
      </w:r>
      <w:r>
        <w:rPr>
          <w:rFonts w:hint="eastAsia" w:ascii="仿宋" w:hAnsi="仿宋" w:eastAsia="仿宋"/>
          <w:spacing w:val="-7"/>
          <w:w w:val="110"/>
          <w:sz w:val="28"/>
          <w:szCs w:val="28"/>
        </w:rPr>
        <w:t>深入推进</w:t>
      </w:r>
      <w:r>
        <w:rPr>
          <w:rFonts w:hint="eastAsia" w:ascii="仿宋" w:hAnsi="仿宋" w:eastAsia="仿宋"/>
          <w:spacing w:val="-7"/>
          <w:w w:val="110"/>
          <w:sz w:val="28"/>
          <w:szCs w:val="28"/>
          <w:lang w:val="en-US" w:eastAsia="zh-CN"/>
        </w:rPr>
        <w:t>了</w:t>
      </w:r>
      <w:r>
        <w:rPr>
          <w:rFonts w:hint="eastAsia" w:ascii="仿宋" w:hAnsi="仿宋" w:eastAsia="仿宋"/>
          <w:spacing w:val="-7"/>
          <w:w w:val="110"/>
          <w:sz w:val="28"/>
          <w:szCs w:val="28"/>
        </w:rPr>
        <w:t>师德师风建设，</w:t>
      </w:r>
      <w:r>
        <w:rPr>
          <w:rFonts w:hint="eastAsia" w:ascii="仿宋" w:hAnsi="仿宋" w:eastAsia="仿宋"/>
          <w:spacing w:val="-7"/>
          <w:w w:val="110"/>
          <w:sz w:val="28"/>
          <w:szCs w:val="28"/>
          <w:lang w:val="en-US" w:eastAsia="zh-CN"/>
        </w:rPr>
        <w:t>让</w:t>
      </w:r>
      <w:r>
        <w:rPr>
          <w:rFonts w:hint="eastAsia" w:ascii="仿宋" w:hAnsi="仿宋" w:eastAsia="仿宋"/>
          <w:spacing w:val="-7"/>
          <w:w w:val="110"/>
          <w:sz w:val="28"/>
          <w:szCs w:val="28"/>
        </w:rPr>
        <w:t>广大教师坚持立德树人，坚持以“四有好老师”</w:t>
      </w:r>
      <w:r>
        <w:rPr>
          <w:rFonts w:hint="eastAsia" w:ascii="仿宋" w:hAnsi="仿宋" w:eastAsia="仿宋"/>
          <w:spacing w:val="-7"/>
          <w:w w:val="110"/>
          <w:sz w:val="28"/>
          <w:szCs w:val="28"/>
          <w:lang w:val="en-US" w:eastAsia="zh-CN"/>
        </w:rPr>
        <w:t>标准</w:t>
      </w:r>
      <w:r>
        <w:rPr>
          <w:rFonts w:hint="eastAsia" w:ascii="仿宋" w:hAnsi="仿宋" w:eastAsia="仿宋"/>
          <w:spacing w:val="-7"/>
          <w:w w:val="110"/>
          <w:sz w:val="28"/>
          <w:szCs w:val="28"/>
        </w:rPr>
        <w:t>严格要求自己</w:t>
      </w:r>
      <w:r>
        <w:rPr>
          <w:rFonts w:hint="eastAsia" w:ascii="仿宋" w:hAnsi="仿宋" w:eastAsia="仿宋"/>
          <w:spacing w:val="-7"/>
          <w:w w:val="110"/>
          <w:sz w:val="28"/>
          <w:szCs w:val="28"/>
          <w:lang w:eastAsia="zh-CN"/>
        </w:rPr>
        <w:t>。</w:t>
      </w:r>
      <w:r>
        <w:rPr>
          <w:rFonts w:hint="eastAsia" w:ascii="仿宋" w:hAnsi="仿宋" w:eastAsia="仿宋"/>
          <w:color w:val="auto"/>
          <w:spacing w:val="-7"/>
          <w:w w:val="110"/>
          <w:sz w:val="28"/>
          <w:szCs w:val="28"/>
        </w:rPr>
        <w:t>为真正做到让202</w:t>
      </w:r>
      <w:r>
        <w:rPr>
          <w:rFonts w:hint="eastAsia" w:ascii="仿宋" w:hAnsi="仿宋" w:eastAsia="仿宋"/>
          <w:color w:val="auto"/>
          <w:spacing w:val="-7"/>
          <w:w w:val="110"/>
          <w:sz w:val="28"/>
          <w:szCs w:val="28"/>
          <w:lang w:val="en-US" w:eastAsia="zh-CN"/>
        </w:rPr>
        <w:t>3</w:t>
      </w:r>
      <w:r>
        <w:rPr>
          <w:rFonts w:hint="eastAsia" w:ascii="仿宋" w:hAnsi="仿宋" w:eastAsia="仿宋"/>
          <w:color w:val="auto"/>
          <w:spacing w:val="-7"/>
          <w:w w:val="110"/>
          <w:sz w:val="28"/>
          <w:szCs w:val="28"/>
        </w:rPr>
        <w:t>级研究生新生“稳心、暖心、贴心”，学院领导和班主任</w:t>
      </w:r>
      <w:r>
        <w:rPr>
          <w:rFonts w:hint="eastAsia" w:ascii="仿宋" w:hAnsi="仿宋" w:eastAsia="仿宋"/>
          <w:color w:val="auto"/>
          <w:spacing w:val="-7"/>
          <w:w w:val="110"/>
          <w:sz w:val="28"/>
          <w:szCs w:val="28"/>
          <w:lang w:val="en-US" w:eastAsia="zh-CN"/>
        </w:rPr>
        <w:t>在研究生新生入学时下寝关心学生，并与新生欢度2023年国庆中秋佳节</w:t>
      </w:r>
      <w:r>
        <w:rPr>
          <w:rFonts w:hint="eastAsia" w:ascii="仿宋" w:hAnsi="仿宋" w:eastAsia="仿宋"/>
          <w:color w:val="auto"/>
          <w:spacing w:val="-7"/>
          <w:w w:val="110"/>
          <w:sz w:val="28"/>
          <w:szCs w:val="28"/>
        </w:rPr>
        <w:t>。</w:t>
      </w:r>
    </w:p>
    <w:p>
      <w:pPr>
        <w:snapToGrid w:val="0"/>
        <w:spacing w:line="360" w:lineRule="auto"/>
        <w:ind w:firstLine="588" w:firstLineChars="200"/>
        <w:jc w:val="left"/>
        <w:rPr>
          <w:rFonts w:hint="eastAsia" w:ascii="仿宋" w:hAnsi="仿宋" w:eastAsia="仿宋"/>
          <w:color w:val="auto"/>
          <w:spacing w:val="-7"/>
          <w:w w:val="110"/>
          <w:sz w:val="28"/>
          <w:szCs w:val="28"/>
          <w:lang w:eastAsia="zh-CN"/>
        </w:rPr>
      </w:pPr>
      <w:r>
        <w:rPr>
          <w:rFonts w:hint="eastAsia" w:ascii="仿宋" w:hAnsi="仿宋" w:eastAsia="仿宋"/>
          <w:spacing w:val="-7"/>
          <w:w w:val="110"/>
          <w:sz w:val="28"/>
          <w:szCs w:val="28"/>
        </w:rPr>
        <w:t>广大教师牢固树立了中国特色社会主义理想信念，扎根湖南西部和民族地区，甘于奉献，为湘西教育事业和经济社会发展服务。</w:t>
      </w:r>
      <w:r>
        <w:rPr>
          <w:rFonts w:hint="eastAsia" w:ascii="仿宋" w:hAnsi="仿宋" w:eastAsia="仿宋"/>
          <w:spacing w:val="-7"/>
          <w:w w:val="110"/>
          <w:sz w:val="28"/>
          <w:szCs w:val="28"/>
          <w:lang w:val="en-US" w:eastAsia="zh-CN"/>
        </w:rPr>
        <w:t>学院</w:t>
      </w:r>
      <w:r>
        <w:rPr>
          <w:rFonts w:hint="eastAsia" w:ascii="仿宋" w:hAnsi="仿宋" w:eastAsia="仿宋"/>
          <w:color w:val="auto"/>
          <w:spacing w:val="-7"/>
          <w:w w:val="110"/>
          <w:sz w:val="28"/>
          <w:szCs w:val="28"/>
        </w:rPr>
        <w:t>组织</w:t>
      </w:r>
      <w:r>
        <w:rPr>
          <w:rFonts w:hint="eastAsia" w:ascii="仿宋" w:hAnsi="仿宋" w:eastAsia="仿宋"/>
          <w:color w:val="auto"/>
          <w:spacing w:val="-7"/>
          <w:w w:val="110"/>
          <w:sz w:val="28"/>
          <w:szCs w:val="28"/>
          <w:lang w:val="en-US" w:eastAsia="zh-CN"/>
        </w:rPr>
        <w:t>研究生师生</w:t>
      </w:r>
      <w:r>
        <w:rPr>
          <w:rFonts w:hint="eastAsia" w:ascii="仿宋" w:hAnsi="仿宋" w:eastAsia="仿宋"/>
          <w:color w:val="auto"/>
          <w:spacing w:val="-7"/>
          <w:w w:val="110"/>
          <w:sz w:val="28"/>
          <w:szCs w:val="28"/>
        </w:rPr>
        <w:t>通过多种形式学习党的二十大精神、习近平总书记五四讲话精神、两会精神、总书记回信精神、黄大年精神、主题教育系列资料，帮助</w:t>
      </w:r>
      <w:r>
        <w:rPr>
          <w:rFonts w:hint="eastAsia" w:ascii="仿宋" w:hAnsi="仿宋" w:eastAsia="仿宋"/>
          <w:color w:val="auto"/>
          <w:spacing w:val="-7"/>
          <w:w w:val="110"/>
          <w:sz w:val="28"/>
          <w:szCs w:val="28"/>
          <w:lang w:val="en-US" w:eastAsia="zh-CN"/>
        </w:rPr>
        <w:t>师生</w:t>
      </w:r>
      <w:r>
        <w:rPr>
          <w:rFonts w:hint="eastAsia" w:ascii="仿宋" w:hAnsi="仿宋" w:eastAsia="仿宋"/>
          <w:color w:val="auto"/>
          <w:spacing w:val="-7"/>
          <w:w w:val="110"/>
          <w:sz w:val="28"/>
          <w:szCs w:val="28"/>
        </w:rPr>
        <w:t>从思想上和行动上坚持捍卫“两个确立”，坚决做到“两个维护”，做好学生成长成才的引路人</w:t>
      </w:r>
      <w:r>
        <w:rPr>
          <w:rFonts w:hint="eastAsia" w:ascii="仿宋" w:hAnsi="仿宋" w:eastAsia="仿宋"/>
          <w:color w:val="auto"/>
          <w:spacing w:val="-7"/>
          <w:w w:val="110"/>
          <w:sz w:val="28"/>
          <w:szCs w:val="28"/>
          <w:lang w:eastAsia="zh-CN"/>
        </w:rPr>
        <w:t>。</w:t>
      </w:r>
    </w:p>
    <w:p>
      <w:pPr>
        <w:pStyle w:val="4"/>
        <w:snapToGrid w:val="0"/>
        <w:spacing w:before="0" w:after="0" w:line="360" w:lineRule="auto"/>
        <w:ind w:firstLine="618" w:firstLineChars="200"/>
        <w:rPr>
          <w:rFonts w:ascii="仿宋" w:hAnsi="仿宋" w:eastAsia="仿宋"/>
          <w:w w:val="110"/>
          <w:sz w:val="28"/>
          <w:szCs w:val="28"/>
        </w:rPr>
      </w:pPr>
      <w:bookmarkStart w:id="10" w:name="_Toc92457809"/>
      <w:r>
        <w:rPr>
          <w:rFonts w:hint="eastAsia" w:ascii="仿宋" w:hAnsi="仿宋" w:eastAsia="仿宋"/>
          <w:w w:val="110"/>
          <w:sz w:val="28"/>
          <w:szCs w:val="28"/>
        </w:rPr>
        <w:t>3</w:t>
      </w:r>
      <w:r>
        <w:rPr>
          <w:rFonts w:ascii="仿宋" w:hAnsi="仿宋" w:eastAsia="仿宋"/>
          <w:w w:val="110"/>
          <w:sz w:val="28"/>
          <w:szCs w:val="28"/>
        </w:rPr>
        <w:t>.</w:t>
      </w:r>
      <w:r>
        <w:rPr>
          <w:rFonts w:hint="eastAsia" w:ascii="仿宋" w:hAnsi="仿宋" w:eastAsia="仿宋"/>
          <w:w w:val="110"/>
          <w:sz w:val="28"/>
          <w:szCs w:val="28"/>
        </w:rPr>
        <w:t>学位点</w:t>
      </w:r>
      <w:r>
        <w:rPr>
          <w:rFonts w:hint="eastAsia" w:ascii="仿宋" w:hAnsi="仿宋" w:eastAsia="仿宋"/>
          <w:sz w:val="28"/>
          <w:szCs w:val="28"/>
        </w:rPr>
        <w:t>文化</w:t>
      </w:r>
      <w:r>
        <w:rPr>
          <w:rFonts w:hint="eastAsia" w:ascii="仿宋" w:hAnsi="仿宋" w:eastAsia="仿宋"/>
          <w:w w:val="110"/>
          <w:sz w:val="28"/>
          <w:szCs w:val="28"/>
        </w:rPr>
        <w:t>建设情况</w:t>
      </w:r>
      <w:bookmarkEnd w:id="10"/>
    </w:p>
    <w:bookmarkEnd w:id="8"/>
    <w:p>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本年度学位点全面落实立德树人根本任务，将立德树人具化为培养学生经世济民情怀，着力构建一体化育人体系，形成思政教育大格局。</w:t>
      </w:r>
    </w:p>
    <w:p>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1）衔接“课内课外”，创新课程思政改革。推行“问题导向+学理剖析”课程教学模式，建立“思政课+专业课+通识课”的大思政课程育人体系。依托“精准扶贫首倡地”区位优势，从“传统文化+国家战略+经济伦理”三维度挖掘课程思政元素，将专业知识传授、科学精神养成、学术理想培养有机融合。打造“三季育人”品牌，“新生季”环境熏陶新生“享温暖、增认同、转身份”，“学习季”课程引导学生“受启发、传价值、导言行”，“毕业季”实践历练学生“树理想、明责任、勇担当”。</w:t>
      </w:r>
    </w:p>
    <w:p>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w:t>
      </w:r>
      <w:r>
        <w:rPr>
          <w:rFonts w:ascii="仿宋" w:hAnsi="仿宋" w:eastAsia="仿宋"/>
          <w:spacing w:val="-7"/>
          <w:w w:val="110"/>
          <w:sz w:val="28"/>
          <w:szCs w:val="28"/>
        </w:rPr>
        <w:t>2</w:t>
      </w:r>
      <w:r>
        <w:rPr>
          <w:rFonts w:hint="eastAsia" w:ascii="仿宋" w:hAnsi="仿宋" w:eastAsia="仿宋"/>
          <w:spacing w:val="-7"/>
          <w:w w:val="110"/>
          <w:sz w:val="28"/>
          <w:szCs w:val="28"/>
        </w:rPr>
        <w:t>）打造“三个文化”，推进社会实践开展。打造“弘扬红色文化”实践活动，依托“灯塔学子”志愿服务、“青年红色筑梦之旅”、“青春心向党·追梦新征程”朗诵比赛及“我为群众办实事”主题实践活动等活动，开展红色实践，传承红色基因。实施“传承传统文化”实践活动，依托五四歌咏比赛、武陵风情风俗走访活动等，传承传统文化。开展“打造职业文化”实践活动，依托“千村大调查”“武陵山片区区域发展研究”等，打造职业文化。</w:t>
      </w:r>
    </w:p>
    <w:p>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w:t>
      </w:r>
      <w:r>
        <w:rPr>
          <w:rFonts w:ascii="仿宋" w:hAnsi="仿宋" w:eastAsia="仿宋"/>
          <w:spacing w:val="-7"/>
          <w:w w:val="110"/>
          <w:sz w:val="28"/>
          <w:szCs w:val="28"/>
        </w:rPr>
        <w:t>3</w:t>
      </w:r>
      <w:r>
        <w:rPr>
          <w:rFonts w:hint="eastAsia" w:ascii="仿宋" w:hAnsi="仿宋" w:eastAsia="仿宋"/>
          <w:spacing w:val="-7"/>
          <w:w w:val="110"/>
          <w:sz w:val="28"/>
          <w:szCs w:val="28"/>
        </w:rPr>
        <w:t>）管控“线上+线下”，筑牢意识形态阵地。依托“吉大商学院”“研经商思”公众号和“易班网”等线上思政教育平台，制定《网站群平台管理办法》《新媒体平台管理办法》，加强线上宣传阵地管控。严格执行“一会一报”“一事一报”制度；严格出版物“三审三校”制度，加强教材、教辅资料、学生论文的内容审查，加强线下宣传阵地监管。</w:t>
      </w:r>
    </w:p>
    <w:p>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w:t>
      </w:r>
      <w:r>
        <w:rPr>
          <w:rFonts w:ascii="仿宋" w:hAnsi="仿宋" w:eastAsia="仿宋"/>
          <w:spacing w:val="-7"/>
          <w:w w:val="110"/>
          <w:sz w:val="28"/>
          <w:szCs w:val="28"/>
        </w:rPr>
        <w:t>4</w:t>
      </w:r>
      <w:r>
        <w:rPr>
          <w:rFonts w:hint="eastAsia" w:ascii="仿宋" w:hAnsi="仿宋" w:eastAsia="仿宋"/>
          <w:spacing w:val="-7"/>
          <w:w w:val="110"/>
          <w:sz w:val="28"/>
          <w:szCs w:val="28"/>
        </w:rPr>
        <w:t>）突出“党支部+学科发展”思路，夯实基层党组织。聚焦政治建设，让思想引领强起来。在人才引进、导师评聘、职称评定中把师德师风作为首要标准，依托“十八洞村”讲好中国脱贫</w:t>
      </w:r>
      <w:r>
        <w:rPr>
          <w:rFonts w:hint="eastAsia" w:ascii="仿宋" w:hAnsi="仿宋" w:eastAsia="仿宋"/>
          <w:spacing w:val="-7"/>
          <w:w w:val="110"/>
          <w:sz w:val="28"/>
          <w:szCs w:val="28"/>
          <w:lang w:val="en-US" w:eastAsia="zh-CN"/>
        </w:rPr>
        <w:t>和乡村振兴</w:t>
      </w:r>
      <w:r>
        <w:rPr>
          <w:rFonts w:hint="eastAsia" w:ascii="仿宋" w:hAnsi="仿宋" w:eastAsia="仿宋"/>
          <w:spacing w:val="-7"/>
          <w:w w:val="110"/>
          <w:sz w:val="28"/>
          <w:szCs w:val="28"/>
        </w:rPr>
        <w:t>故事。聚焦组织建设，让作用发挥强起来。落实“党支部+”工作方案，夯实党支部支撑学科发展着力点</w:t>
      </w:r>
      <w:r>
        <w:rPr>
          <w:rFonts w:hint="eastAsia" w:ascii="仿宋" w:hAnsi="仿宋" w:eastAsia="仿宋"/>
          <w:spacing w:val="-7"/>
          <w:w w:val="110"/>
          <w:sz w:val="28"/>
          <w:szCs w:val="28"/>
          <w:lang w:eastAsia="zh-CN"/>
        </w:rPr>
        <w:t>，</w:t>
      </w:r>
      <w:r>
        <w:rPr>
          <w:rFonts w:hint="eastAsia" w:ascii="仿宋" w:hAnsi="仿宋" w:eastAsia="仿宋"/>
          <w:spacing w:val="-7"/>
          <w:w w:val="110"/>
          <w:sz w:val="28"/>
          <w:szCs w:val="28"/>
        </w:rPr>
        <w:t>聚焦人才建设，让支部书记强起来。把支部书记作为人才储备进行培养，选拔优秀“双带头人”。</w:t>
      </w:r>
    </w:p>
    <w:p>
      <w:pPr>
        <w:pStyle w:val="4"/>
        <w:snapToGrid w:val="0"/>
        <w:spacing w:before="0" w:after="0" w:line="360" w:lineRule="auto"/>
        <w:ind w:firstLine="618" w:firstLineChars="200"/>
        <w:rPr>
          <w:rFonts w:ascii="仿宋" w:hAnsi="仿宋" w:eastAsia="仿宋"/>
          <w:w w:val="110"/>
          <w:sz w:val="28"/>
          <w:szCs w:val="28"/>
        </w:rPr>
      </w:pPr>
      <w:bookmarkStart w:id="11" w:name="_Toc92457810"/>
      <w:r>
        <w:rPr>
          <w:rFonts w:hint="eastAsia" w:ascii="仿宋" w:hAnsi="仿宋" w:eastAsia="仿宋"/>
          <w:w w:val="110"/>
          <w:sz w:val="28"/>
          <w:szCs w:val="28"/>
        </w:rPr>
        <w:t>4</w:t>
      </w:r>
      <w:r>
        <w:rPr>
          <w:rFonts w:ascii="仿宋" w:hAnsi="仿宋" w:eastAsia="仿宋"/>
          <w:w w:val="110"/>
          <w:sz w:val="28"/>
          <w:szCs w:val="28"/>
        </w:rPr>
        <w:t xml:space="preserve">. </w:t>
      </w:r>
      <w:r>
        <w:rPr>
          <w:rFonts w:hint="eastAsia" w:ascii="仿宋" w:hAnsi="仿宋" w:eastAsia="仿宋"/>
          <w:w w:val="110"/>
          <w:sz w:val="28"/>
          <w:szCs w:val="28"/>
        </w:rPr>
        <w:t>学位点日常管理、服务工作情况</w:t>
      </w:r>
      <w:bookmarkEnd w:id="11"/>
    </w:p>
    <w:p>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学位点在研究生入学初即开展了研究生入学教育，对研究生的理想信念和社会主义核心价值观教育等进行教育，并畅通了学生信息反馈渠道，建立了谈话机制，各专业都有信息联络员，可以保证随时对学生群体中出现的心理问题进行疏导。对有家庭经济困难的，学习、生活中碰到障碍的可能引发学生价值观偏向的学生，学位点组织了专人与之谈话。全年共做理想信念和社会主义核心价值观教育类讲座近10场，各类层次的谈话20余次。</w:t>
      </w:r>
    </w:p>
    <w:p>
      <w:pPr>
        <w:snapToGrid w:val="0"/>
        <w:spacing w:line="360" w:lineRule="auto"/>
        <w:ind w:firstLine="588" w:firstLineChars="200"/>
        <w:jc w:val="left"/>
        <w:rPr>
          <w:rFonts w:hint="eastAsia" w:ascii="仿宋" w:hAnsi="仿宋" w:eastAsia="仿宋"/>
          <w:color w:val="auto"/>
          <w:spacing w:val="-7"/>
          <w:w w:val="110"/>
          <w:sz w:val="28"/>
          <w:szCs w:val="28"/>
          <w:lang w:eastAsia="zh-CN"/>
        </w:rPr>
      </w:pPr>
      <w:r>
        <w:rPr>
          <w:rFonts w:hint="eastAsia" w:ascii="仿宋" w:hAnsi="仿宋" w:eastAsia="仿宋"/>
          <w:spacing w:val="-7"/>
          <w:w w:val="110"/>
          <w:sz w:val="28"/>
          <w:szCs w:val="28"/>
        </w:rPr>
        <w:t>学位点积极组织研究生开展各种主题活动，本年度共组织或参加元旦晚会、毕业晚会、研究生英语翻译大赛、英语演讲大赛、研究生辩论赛、第十</w:t>
      </w:r>
      <w:r>
        <w:rPr>
          <w:rFonts w:hint="eastAsia" w:ascii="仿宋" w:hAnsi="仿宋" w:eastAsia="仿宋"/>
          <w:spacing w:val="-7"/>
          <w:w w:val="110"/>
          <w:sz w:val="28"/>
          <w:szCs w:val="28"/>
          <w:lang w:val="en-US" w:eastAsia="zh-CN"/>
        </w:rPr>
        <w:t>五</w:t>
      </w:r>
      <w:r>
        <w:rPr>
          <w:rFonts w:hint="eastAsia" w:ascii="仿宋" w:hAnsi="仿宋" w:eastAsia="仿宋"/>
          <w:spacing w:val="-7"/>
          <w:w w:val="110"/>
          <w:sz w:val="28"/>
          <w:szCs w:val="28"/>
        </w:rPr>
        <w:t>届“挑战杯”湖南省大学生课外学术科技作品竞赛、第十三届“华中杯”大学生数学建模挑战赛、“正大杯全国大学生市场调查与分析大赛”全国研究生选拔赛、“东方财富杯”全国大学生金融精英挑战赛国赛、</w:t>
      </w:r>
      <w:r>
        <w:rPr>
          <w:rFonts w:hint="eastAsia" w:ascii="仿宋" w:hAnsi="仿宋" w:eastAsia="仿宋"/>
          <w:color w:val="auto"/>
          <w:spacing w:val="-7"/>
          <w:w w:val="110"/>
          <w:sz w:val="28"/>
          <w:szCs w:val="28"/>
        </w:rPr>
        <w:t>吉首大学第</w:t>
      </w:r>
      <w:r>
        <w:rPr>
          <w:rFonts w:hint="eastAsia" w:ascii="仿宋" w:hAnsi="仿宋" w:eastAsia="仿宋"/>
          <w:color w:val="auto"/>
          <w:spacing w:val="-7"/>
          <w:w w:val="110"/>
          <w:sz w:val="28"/>
          <w:szCs w:val="28"/>
          <w:lang w:val="en-US" w:eastAsia="zh-CN"/>
        </w:rPr>
        <w:t>三</w:t>
      </w:r>
      <w:r>
        <w:rPr>
          <w:rFonts w:hint="eastAsia" w:ascii="仿宋" w:hAnsi="仿宋" w:eastAsia="仿宋"/>
          <w:color w:val="auto"/>
          <w:spacing w:val="-7"/>
          <w:w w:val="110"/>
          <w:sz w:val="28"/>
          <w:szCs w:val="28"/>
        </w:rPr>
        <w:t>届</w:t>
      </w:r>
      <w:r>
        <w:rPr>
          <w:rFonts w:hint="eastAsia" w:ascii="仿宋" w:hAnsi="仿宋" w:eastAsia="仿宋"/>
          <w:color w:val="auto"/>
          <w:spacing w:val="-7"/>
          <w:w w:val="110"/>
          <w:sz w:val="28"/>
          <w:szCs w:val="28"/>
          <w:lang w:val="en-US" w:eastAsia="zh-CN"/>
        </w:rPr>
        <w:t>金融</w:t>
      </w:r>
      <w:r>
        <w:rPr>
          <w:rFonts w:hint="eastAsia" w:ascii="仿宋" w:hAnsi="仿宋" w:eastAsia="仿宋"/>
          <w:color w:val="auto"/>
          <w:spacing w:val="-7"/>
          <w:w w:val="110"/>
          <w:sz w:val="28"/>
          <w:szCs w:val="28"/>
        </w:rPr>
        <w:t>案例</w:t>
      </w:r>
      <w:r>
        <w:rPr>
          <w:rFonts w:hint="eastAsia" w:ascii="仿宋" w:hAnsi="仿宋" w:eastAsia="仿宋"/>
          <w:color w:val="auto"/>
          <w:spacing w:val="-7"/>
          <w:w w:val="110"/>
          <w:sz w:val="28"/>
          <w:szCs w:val="28"/>
          <w:lang w:val="en-US" w:eastAsia="zh-CN"/>
        </w:rPr>
        <w:t>分析</w:t>
      </w:r>
      <w:r>
        <w:rPr>
          <w:rFonts w:hint="eastAsia" w:ascii="仿宋" w:hAnsi="仿宋" w:eastAsia="仿宋"/>
          <w:color w:val="auto"/>
          <w:spacing w:val="-7"/>
          <w:w w:val="110"/>
          <w:sz w:val="28"/>
          <w:szCs w:val="28"/>
        </w:rPr>
        <w:t>大赛、全国MPA</w:t>
      </w:r>
      <w:r>
        <w:rPr>
          <w:rFonts w:hint="eastAsia" w:ascii="仿宋" w:hAnsi="仿宋" w:eastAsia="仿宋"/>
          <w:color w:val="auto"/>
          <w:spacing w:val="-7"/>
          <w:w w:val="110"/>
          <w:sz w:val="28"/>
          <w:szCs w:val="28"/>
          <w:lang w:val="en-US" w:eastAsia="zh-CN"/>
        </w:rPr>
        <w:t>cc</w:t>
      </w:r>
      <w:r>
        <w:rPr>
          <w:rFonts w:hint="eastAsia" w:ascii="仿宋" w:hAnsi="仿宋" w:eastAsia="仿宋"/>
          <w:color w:val="auto"/>
          <w:spacing w:val="-7"/>
          <w:w w:val="110"/>
          <w:sz w:val="28"/>
          <w:szCs w:val="28"/>
        </w:rPr>
        <w:t>案例大赛等丰富校园文化生活的活动，且都有较好的成绩</w:t>
      </w:r>
      <w:r>
        <w:rPr>
          <w:rFonts w:hint="eastAsia" w:ascii="仿宋" w:hAnsi="仿宋" w:eastAsia="仿宋"/>
          <w:color w:val="auto"/>
          <w:spacing w:val="-7"/>
          <w:w w:val="110"/>
          <w:sz w:val="28"/>
          <w:szCs w:val="28"/>
          <w:lang w:eastAsia="zh-CN"/>
        </w:rPr>
        <w:t>。</w:t>
      </w:r>
    </w:p>
    <w:p>
      <w:pPr>
        <w:snapToGrid w:val="0"/>
        <w:spacing w:line="360" w:lineRule="auto"/>
        <w:ind w:firstLine="588" w:firstLineChars="200"/>
        <w:jc w:val="left"/>
        <w:rPr>
          <w:rFonts w:hint="eastAsia" w:ascii="仿宋" w:hAnsi="仿宋" w:eastAsia="仿宋"/>
          <w:color w:val="auto"/>
          <w:spacing w:val="-7"/>
          <w:w w:val="110"/>
          <w:sz w:val="28"/>
          <w:szCs w:val="28"/>
          <w:lang w:val="en-US" w:eastAsia="zh-CN"/>
        </w:rPr>
      </w:pPr>
      <w:r>
        <w:rPr>
          <w:rFonts w:hint="eastAsia" w:ascii="仿宋" w:hAnsi="仿宋" w:eastAsia="仿宋"/>
          <w:color w:val="auto"/>
          <w:spacing w:val="-7"/>
          <w:w w:val="110"/>
          <w:sz w:val="28"/>
          <w:szCs w:val="28"/>
          <w:lang w:val="en-US" w:eastAsia="zh-CN"/>
        </w:rPr>
        <w:t>其中，学位点研究生在全国第十八届挑战杯大学生课外学术科技作品竞赛主体赛荣获国家级团体二等奖1项；湖南省第三届金融案例大赛获团体奖一等奖2项，三等奖1项，吉首大学获评最佳组织奖；“正大杯”第十三届全国大学生市场调查与分析大赛湖南省赛区研究生组选拔赛团体二等奖1项；吉首大学MPAcc企业案例大赛校级团体二等奖1项；吉首大学“正大杯”第十三届市场调查与分析大赛团体二等奖1项；吉首大学研究生英语演讲比赛个人二等奖1项；吉首大学商学院“以辩会友，激昂青春”辩论赛团体奖一等奖1项、二等奖1项、三等奖2项。</w:t>
      </w:r>
      <w:bookmarkStart w:id="12" w:name="_Toc92457811"/>
    </w:p>
    <w:p>
      <w:pPr>
        <w:snapToGrid w:val="0"/>
        <w:spacing w:line="360" w:lineRule="auto"/>
        <w:jc w:val="left"/>
        <w:rPr>
          <w:rFonts w:hint="eastAsia" w:ascii="黑体" w:hAnsi="黑体" w:eastAsia="黑体" w:cstheme="majorBidi"/>
          <w:b w:val="0"/>
          <w:bCs w:val="0"/>
          <w:kern w:val="2"/>
          <w:sz w:val="32"/>
          <w:szCs w:val="32"/>
          <w:lang w:val="en-US" w:eastAsia="zh-CN" w:bidi="ar-SA"/>
        </w:rPr>
      </w:pPr>
      <w:r>
        <w:rPr>
          <w:rFonts w:hint="eastAsia" w:ascii="黑体" w:hAnsi="黑体" w:eastAsia="黑体" w:cstheme="majorBidi"/>
          <w:b w:val="0"/>
          <w:bCs w:val="0"/>
          <w:kern w:val="2"/>
          <w:sz w:val="32"/>
          <w:szCs w:val="32"/>
          <w:lang w:val="en-US" w:eastAsia="zh-CN" w:bidi="ar-SA"/>
        </w:rPr>
        <w:t>三、研究生培养相关制度及执行情况</w:t>
      </w:r>
      <w:bookmarkEnd w:id="12"/>
      <w:bookmarkStart w:id="13" w:name="_Toc92457812"/>
    </w:p>
    <w:p>
      <w:pPr>
        <w:snapToGrid w:val="0"/>
        <w:spacing w:line="360" w:lineRule="auto"/>
        <w:ind w:firstLine="618" w:firstLineChars="200"/>
        <w:jc w:val="left"/>
        <w:rPr>
          <w:rFonts w:hint="eastAsia" w:ascii="仿宋" w:hAnsi="仿宋" w:eastAsia="仿宋" w:cs="Times New Roman"/>
          <w:b/>
          <w:bCs/>
          <w:w w:val="110"/>
          <w:kern w:val="2"/>
          <w:sz w:val="28"/>
          <w:szCs w:val="28"/>
          <w:lang w:val="en-US" w:eastAsia="zh-CN" w:bidi="ar-SA"/>
        </w:rPr>
      </w:pPr>
      <w:r>
        <w:rPr>
          <w:rFonts w:hint="eastAsia" w:ascii="仿宋" w:hAnsi="仿宋" w:eastAsia="仿宋" w:cs="Times New Roman"/>
          <w:b/>
          <w:bCs/>
          <w:w w:val="110"/>
          <w:kern w:val="2"/>
          <w:sz w:val="28"/>
          <w:szCs w:val="28"/>
          <w:lang w:val="en-US" w:eastAsia="zh-CN" w:bidi="ar-SA"/>
        </w:rPr>
        <w:t>1. 课程建设与实施情况</w:t>
      </w:r>
      <w:bookmarkEnd w:id="13"/>
    </w:p>
    <w:p>
      <w:pPr>
        <w:snapToGrid w:val="0"/>
        <w:spacing w:line="360" w:lineRule="auto"/>
        <w:ind w:firstLine="588" w:firstLineChars="200"/>
        <w:jc w:val="left"/>
        <w:rPr>
          <w:rFonts w:hint="eastAsia" w:ascii="仿宋" w:hAnsi="仿宋" w:eastAsia="仿宋" w:cs="Times New Roman"/>
          <w:b w:val="0"/>
          <w:bCs w:val="0"/>
          <w:spacing w:val="-7"/>
          <w:w w:val="110"/>
          <w:kern w:val="2"/>
          <w:sz w:val="28"/>
          <w:szCs w:val="28"/>
          <w:lang w:val="en-US" w:eastAsia="zh-CN" w:bidi="ar-SA"/>
        </w:rPr>
      </w:pPr>
      <w:r>
        <w:rPr>
          <w:rFonts w:hint="eastAsia" w:ascii="仿宋" w:hAnsi="仿宋" w:eastAsia="仿宋" w:cs="Times New Roman"/>
          <w:b w:val="0"/>
          <w:bCs w:val="0"/>
          <w:spacing w:val="-7"/>
          <w:w w:val="110"/>
          <w:kern w:val="2"/>
          <w:sz w:val="28"/>
          <w:szCs w:val="28"/>
          <w:lang w:val="en-US" w:eastAsia="zh-CN" w:bidi="ar-SA"/>
        </w:rPr>
        <w:t>学位点课程开设以培养学生扎实的应用经济学基础理论、现代前沿研究方法和工具，具有国际视野、人文素养、经济思维、理论和实践创新能力为目标,同时能够理论联系实际，开展规范与实证研究，且熟悉欠发达地区经济社会发展实际的问题，能提出解决实际问题方案的高水平经济管理应用人才。</w:t>
      </w:r>
    </w:p>
    <w:p>
      <w:pPr>
        <w:snapToGrid w:val="0"/>
        <w:spacing w:line="360" w:lineRule="auto"/>
        <w:ind w:firstLine="588" w:firstLineChars="200"/>
        <w:jc w:val="left"/>
        <w:rPr>
          <w:rFonts w:hint="eastAsia" w:ascii="仿宋" w:hAnsi="仿宋" w:eastAsia="仿宋" w:cs="Times New Roman"/>
          <w:b w:val="0"/>
          <w:bCs w:val="0"/>
          <w:spacing w:val="-7"/>
          <w:w w:val="110"/>
          <w:kern w:val="2"/>
          <w:sz w:val="28"/>
          <w:szCs w:val="28"/>
          <w:lang w:val="en-US" w:eastAsia="zh-CN" w:bidi="ar-SA"/>
        </w:rPr>
      </w:pPr>
      <w:r>
        <w:rPr>
          <w:rFonts w:hint="eastAsia" w:ascii="仿宋" w:hAnsi="仿宋" w:eastAsia="仿宋" w:cs="Times New Roman"/>
          <w:b w:val="0"/>
          <w:bCs w:val="0"/>
          <w:spacing w:val="-7"/>
          <w:w w:val="110"/>
          <w:kern w:val="2"/>
          <w:sz w:val="28"/>
          <w:szCs w:val="28"/>
          <w:lang w:val="en-US" w:eastAsia="zh-CN" w:bidi="ar-SA"/>
        </w:rPr>
        <w:t>同时将“新商科”与“新文科”人才理念全方位深层次融入应用经济学人才培养全过程。对照“新商科”和思政教育要求，构建多学科交叉的课程框架体系，建成“大数据素养”“特色资源开发管理”“减贫与发展”课程群。针对应用经济学学科的科研需要，在2023级的课程设置中继续设置了2门方法类课程</w:t>
      </w:r>
      <w:r>
        <w:rPr>
          <w:rFonts w:hint="eastAsia" w:ascii="仿宋" w:hAnsi="仿宋" w:eastAsia="仿宋" w:cs="Times New Roman"/>
          <w:b w:val="0"/>
          <w:bCs w:val="0"/>
          <w:color w:val="auto"/>
          <w:spacing w:val="-7"/>
          <w:w w:val="110"/>
          <w:kern w:val="2"/>
          <w:sz w:val="28"/>
          <w:szCs w:val="28"/>
          <w:lang w:val="en-US" w:eastAsia="zh-CN" w:bidi="ar-SA"/>
        </w:rPr>
        <w:t>《空间经济与GIS技术应用》和《统计与大数据分析方法》，</w:t>
      </w:r>
      <w:r>
        <w:rPr>
          <w:rFonts w:hint="eastAsia" w:ascii="仿宋" w:hAnsi="仿宋" w:eastAsia="仿宋" w:cs="Times New Roman"/>
          <w:b w:val="0"/>
          <w:bCs w:val="0"/>
          <w:spacing w:val="-7"/>
          <w:w w:val="110"/>
          <w:kern w:val="2"/>
          <w:sz w:val="28"/>
          <w:szCs w:val="28"/>
          <w:lang w:val="en-US" w:eastAsia="zh-CN" w:bidi="ar-SA"/>
        </w:rPr>
        <w:t>为研究生论文写作奠定了扎实的方法论基础。</w:t>
      </w:r>
    </w:p>
    <w:p>
      <w:pPr>
        <w:snapToGrid w:val="0"/>
        <w:spacing w:line="360" w:lineRule="auto"/>
        <w:ind w:firstLine="588" w:firstLineChars="200"/>
        <w:jc w:val="left"/>
        <w:rPr>
          <w:rFonts w:hint="eastAsia" w:ascii="仿宋" w:hAnsi="仿宋" w:eastAsia="仿宋" w:cs="Times New Roman"/>
          <w:b w:val="0"/>
          <w:bCs w:val="0"/>
          <w:spacing w:val="-7"/>
          <w:w w:val="110"/>
          <w:kern w:val="2"/>
          <w:sz w:val="28"/>
          <w:szCs w:val="28"/>
          <w:lang w:val="en-US" w:eastAsia="zh-CN" w:bidi="ar-SA"/>
        </w:rPr>
      </w:pPr>
      <w:r>
        <w:rPr>
          <w:rFonts w:hint="eastAsia" w:ascii="仿宋" w:hAnsi="仿宋" w:eastAsia="仿宋" w:cs="Times New Roman"/>
          <w:b w:val="0"/>
          <w:bCs w:val="0"/>
          <w:spacing w:val="-7"/>
          <w:w w:val="110"/>
          <w:kern w:val="2"/>
          <w:sz w:val="28"/>
          <w:szCs w:val="28"/>
          <w:lang w:val="en-US" w:eastAsia="zh-CN" w:bidi="ar-SA"/>
        </w:rPr>
        <w:t>在方法上深入推进课堂教学改革，实施一流课程教学模式。  推动互联网、大数据等现代技术在课堂教学中的应用，构建“互联网+专业教育”智能课堂教学模式；大力开展课程网站建设，支持任课教师开展在线教学。依托本土课程资源开展案例研讨式教学，推行以能力培养为导向、以问题探究为中心的“教师引导-学生参与”式研究性教学体系。</w:t>
      </w:r>
    </w:p>
    <w:p>
      <w:pPr>
        <w:snapToGrid w:val="0"/>
        <w:spacing w:line="360" w:lineRule="auto"/>
        <w:ind w:firstLine="588" w:firstLineChars="200"/>
        <w:jc w:val="left"/>
        <w:rPr>
          <w:rFonts w:hint="eastAsia" w:ascii="仿宋" w:hAnsi="仿宋" w:eastAsia="仿宋" w:cs="Times New Roman"/>
          <w:b w:val="0"/>
          <w:bCs w:val="0"/>
          <w:spacing w:val="-7"/>
          <w:w w:val="110"/>
          <w:kern w:val="2"/>
          <w:sz w:val="28"/>
          <w:szCs w:val="28"/>
          <w:lang w:val="en-US" w:eastAsia="zh-CN" w:bidi="ar-SA"/>
        </w:rPr>
      </w:pPr>
      <w:r>
        <w:rPr>
          <w:rFonts w:hint="eastAsia" w:ascii="仿宋" w:hAnsi="仿宋" w:eastAsia="仿宋" w:cs="Times New Roman"/>
          <w:b w:val="0"/>
          <w:bCs w:val="0"/>
          <w:spacing w:val="-7"/>
          <w:w w:val="110"/>
          <w:kern w:val="2"/>
          <w:sz w:val="28"/>
          <w:szCs w:val="28"/>
          <w:lang w:val="en-US" w:eastAsia="zh-CN" w:bidi="ar-SA"/>
        </w:rPr>
        <w:t>本学位点还将教学质量作为职称评聘首要标准，开展教学型教授、副教授评聘；改革年终绩效分配，把参与教研活动、编写教材案例、指导学生创新创业训练等计入工作量；实施“教学督导+学生”评教制度，并将评价结果与年终绩效分配挂钩。</w:t>
      </w:r>
    </w:p>
    <w:p>
      <w:pPr>
        <w:pStyle w:val="4"/>
        <w:snapToGrid w:val="0"/>
        <w:spacing w:before="0" w:after="0" w:line="360" w:lineRule="auto"/>
        <w:ind w:firstLine="618" w:firstLineChars="200"/>
        <w:rPr>
          <w:rFonts w:ascii="仿宋" w:hAnsi="仿宋" w:eastAsia="仿宋"/>
          <w:w w:val="110"/>
          <w:sz w:val="28"/>
          <w:szCs w:val="28"/>
        </w:rPr>
      </w:pPr>
      <w:bookmarkStart w:id="14" w:name="_Toc92457813"/>
      <w:r>
        <w:rPr>
          <w:rFonts w:ascii="仿宋" w:hAnsi="仿宋" w:eastAsia="仿宋"/>
          <w:w w:val="110"/>
          <w:sz w:val="28"/>
          <w:szCs w:val="28"/>
        </w:rPr>
        <w:t xml:space="preserve">2. </w:t>
      </w:r>
      <w:r>
        <w:rPr>
          <w:rFonts w:hint="eastAsia" w:ascii="仿宋" w:hAnsi="仿宋" w:eastAsia="仿宋"/>
          <w:w w:val="110"/>
          <w:sz w:val="28"/>
          <w:szCs w:val="28"/>
        </w:rPr>
        <w:t>导师</w:t>
      </w:r>
      <w:r>
        <w:rPr>
          <w:rFonts w:hint="eastAsia" w:ascii="仿宋" w:hAnsi="仿宋" w:eastAsia="仿宋"/>
          <w:sz w:val="28"/>
          <w:szCs w:val="28"/>
        </w:rPr>
        <w:t>选拔</w:t>
      </w:r>
      <w:r>
        <w:rPr>
          <w:rFonts w:hint="eastAsia" w:ascii="仿宋" w:hAnsi="仿宋" w:eastAsia="仿宋"/>
          <w:w w:val="110"/>
          <w:sz w:val="28"/>
          <w:szCs w:val="28"/>
        </w:rPr>
        <w:t>与培训情况</w:t>
      </w:r>
      <w:bookmarkEnd w:id="14"/>
    </w:p>
    <w:p>
      <w:pPr>
        <w:snapToGrid w:val="0"/>
        <w:spacing w:line="360" w:lineRule="auto"/>
        <w:ind w:firstLine="588" w:firstLineChars="200"/>
        <w:jc w:val="left"/>
        <w:rPr>
          <w:rFonts w:hint="eastAsia" w:ascii="仿宋" w:hAnsi="仿宋" w:eastAsia="仿宋"/>
          <w:spacing w:val="-7"/>
          <w:w w:val="110"/>
          <w:sz w:val="28"/>
          <w:szCs w:val="28"/>
          <w:lang w:val="en-US" w:eastAsia="zh-CN"/>
        </w:rPr>
      </w:pPr>
      <w:r>
        <w:rPr>
          <w:rFonts w:hint="eastAsia" w:ascii="仿宋" w:hAnsi="仿宋" w:eastAsia="仿宋"/>
          <w:spacing w:val="-7"/>
          <w:w w:val="110"/>
          <w:sz w:val="28"/>
          <w:szCs w:val="28"/>
          <w:lang w:val="en-US" w:eastAsia="zh-CN"/>
        </w:rPr>
        <w:t>本年度学位点严格按照学院研究生培养的需要，遴选思想政治素质过硬、学术科研能力强、有责任心的博士或高级职称的专家学者成为硕士生导师。经严格规范程序筛选本年度学位点共聘任了校内导师3名，校外实践导师3名，其中教授2名，具有博士学位的6名。</w:t>
      </w:r>
    </w:p>
    <w:p>
      <w:pPr>
        <w:snapToGrid w:val="0"/>
        <w:spacing w:line="360" w:lineRule="auto"/>
        <w:ind w:firstLine="588" w:firstLineChars="200"/>
        <w:jc w:val="left"/>
        <w:rPr>
          <w:rFonts w:hint="eastAsia" w:ascii="仿宋" w:hAnsi="仿宋" w:eastAsia="仿宋"/>
          <w:spacing w:val="-7"/>
          <w:w w:val="110"/>
          <w:sz w:val="28"/>
          <w:szCs w:val="28"/>
        </w:rPr>
      </w:pPr>
      <w:r>
        <w:rPr>
          <w:rFonts w:hint="eastAsia" w:ascii="仿宋" w:hAnsi="仿宋" w:eastAsia="仿宋"/>
          <w:spacing w:val="-7"/>
          <w:w w:val="110"/>
          <w:sz w:val="28"/>
          <w:szCs w:val="28"/>
          <w:lang w:val="en-US" w:eastAsia="zh-CN"/>
        </w:rPr>
        <w:t>学位点按照研究生导师的立德树人职责及三全育人标准对导师展开培训。本年度新增3名校内硕士生导师已培训合格上岗，学位点所有硕士生导师每年均定期参加了学校和学位点组织的各类培训。</w:t>
      </w:r>
    </w:p>
    <w:p>
      <w:pPr>
        <w:pStyle w:val="4"/>
        <w:snapToGrid w:val="0"/>
        <w:spacing w:before="0" w:after="0" w:line="360" w:lineRule="auto"/>
        <w:ind w:firstLine="618" w:firstLineChars="200"/>
        <w:rPr>
          <w:rFonts w:ascii="仿宋" w:hAnsi="仿宋" w:eastAsia="仿宋"/>
          <w:w w:val="110"/>
          <w:sz w:val="28"/>
          <w:szCs w:val="28"/>
        </w:rPr>
      </w:pPr>
      <w:bookmarkStart w:id="15" w:name="_Toc92457814"/>
      <w:r>
        <w:rPr>
          <w:rFonts w:ascii="仿宋" w:hAnsi="仿宋" w:eastAsia="仿宋"/>
          <w:w w:val="110"/>
          <w:sz w:val="28"/>
          <w:szCs w:val="28"/>
        </w:rPr>
        <w:t xml:space="preserve">3. </w:t>
      </w:r>
      <w:r>
        <w:rPr>
          <w:rFonts w:hint="eastAsia" w:ascii="仿宋" w:hAnsi="仿宋" w:eastAsia="仿宋"/>
          <w:w w:val="110"/>
          <w:sz w:val="28"/>
          <w:szCs w:val="28"/>
        </w:rPr>
        <w:t>师德师风</w:t>
      </w:r>
      <w:r>
        <w:rPr>
          <w:rFonts w:hint="eastAsia" w:ascii="仿宋" w:hAnsi="仿宋" w:eastAsia="仿宋"/>
          <w:sz w:val="28"/>
          <w:szCs w:val="28"/>
        </w:rPr>
        <w:t>建设</w:t>
      </w:r>
      <w:r>
        <w:rPr>
          <w:rFonts w:hint="eastAsia" w:ascii="仿宋" w:hAnsi="仿宋" w:eastAsia="仿宋"/>
          <w:w w:val="110"/>
          <w:sz w:val="28"/>
          <w:szCs w:val="28"/>
        </w:rPr>
        <w:t>情况</w:t>
      </w:r>
      <w:bookmarkEnd w:id="15"/>
    </w:p>
    <w:p>
      <w:pPr>
        <w:pStyle w:val="4"/>
        <w:snapToGrid w:val="0"/>
        <w:spacing w:before="0" w:after="0" w:line="360" w:lineRule="auto"/>
        <w:ind w:firstLine="588" w:firstLineChars="200"/>
        <w:rPr>
          <w:rFonts w:hint="eastAsia" w:ascii="仿宋" w:hAnsi="仿宋" w:eastAsia="仿宋" w:cs="Times New Roman"/>
          <w:b w:val="0"/>
          <w:bCs w:val="0"/>
          <w:spacing w:val="-7"/>
          <w:w w:val="110"/>
          <w:kern w:val="2"/>
          <w:sz w:val="28"/>
          <w:szCs w:val="28"/>
          <w:lang w:val="en-US" w:eastAsia="zh-CN" w:bidi="ar-SA"/>
        </w:rPr>
      </w:pPr>
      <w:bookmarkStart w:id="16" w:name="_Toc92457815"/>
      <w:r>
        <w:rPr>
          <w:rFonts w:hint="eastAsia" w:ascii="仿宋" w:hAnsi="仿宋" w:eastAsia="仿宋" w:cs="Times New Roman"/>
          <w:b w:val="0"/>
          <w:bCs w:val="0"/>
          <w:spacing w:val="-7"/>
          <w:w w:val="110"/>
          <w:kern w:val="2"/>
          <w:sz w:val="28"/>
          <w:szCs w:val="28"/>
          <w:lang w:val="en-US" w:eastAsia="zh-CN" w:bidi="ar-SA"/>
        </w:rPr>
        <w:t>开展导师师德师风专题培训，要求导师对照研究生导师的立德树人职责做出自我评估，整改提高，实施师德师风一票否决制，全面落实师德师风建设相关标准与政策要求。开展以“加强师德师风建设争做‘四有’好老师”为主题的师德师风集中学习教育，主要内容包括学习师德师风相关规定文件，师德师风警示教育学习，主要是通过观看电影《黄大年》、分教研室进行主题为“加强师德师风建设，争做‘四有’好老师”的交流研讨。同时，学院党委还组织全体教师党员开展以“牢记立德树人使命，做铸魂育人践行者”为主题的学习研讨活动。</w:t>
      </w:r>
    </w:p>
    <w:p>
      <w:pPr>
        <w:pStyle w:val="4"/>
        <w:snapToGrid w:val="0"/>
        <w:spacing w:before="0" w:after="0" w:line="360" w:lineRule="auto"/>
        <w:ind w:firstLine="588" w:firstLineChars="200"/>
        <w:rPr>
          <w:rFonts w:hint="eastAsia" w:ascii="仿宋" w:hAnsi="仿宋" w:eastAsia="仿宋" w:cs="Times New Roman"/>
          <w:b w:val="0"/>
          <w:bCs w:val="0"/>
          <w:spacing w:val="-7"/>
          <w:w w:val="110"/>
          <w:kern w:val="2"/>
          <w:sz w:val="28"/>
          <w:szCs w:val="28"/>
          <w:lang w:val="en-US" w:eastAsia="zh-CN" w:bidi="ar-SA"/>
        </w:rPr>
      </w:pPr>
      <w:r>
        <w:rPr>
          <w:rFonts w:hint="eastAsia" w:ascii="仿宋" w:hAnsi="仿宋" w:eastAsia="仿宋" w:cs="Times New Roman"/>
          <w:b w:val="0"/>
          <w:bCs w:val="0"/>
          <w:spacing w:val="-7"/>
          <w:w w:val="110"/>
          <w:kern w:val="2"/>
          <w:sz w:val="28"/>
          <w:szCs w:val="28"/>
          <w:lang w:val="en-US" w:eastAsia="zh-CN" w:bidi="ar-SA"/>
        </w:rPr>
        <w:t>结合导师师德师风建设要求，学位点认真开展了导师2023年度考核，明确了科研、教学和素养等各方面的综合要求，并将考核结果应用于导师的招生资格审查。对于违反导师行为准则、考核周期内所指导学生出现学术造假或不端行为者，取消硕士研究生导师招生资格。</w:t>
      </w:r>
    </w:p>
    <w:p>
      <w:pPr>
        <w:pStyle w:val="4"/>
        <w:snapToGrid w:val="0"/>
        <w:spacing w:before="0" w:after="0" w:line="360" w:lineRule="auto"/>
        <w:ind w:firstLine="618" w:firstLineChars="200"/>
        <w:rPr>
          <w:rFonts w:ascii="仿宋" w:hAnsi="仿宋" w:eastAsia="仿宋"/>
          <w:w w:val="110"/>
          <w:sz w:val="28"/>
          <w:szCs w:val="28"/>
        </w:rPr>
      </w:pPr>
      <w:r>
        <w:rPr>
          <w:rFonts w:hint="eastAsia" w:ascii="仿宋" w:hAnsi="仿宋" w:eastAsia="仿宋"/>
          <w:w w:val="110"/>
          <w:sz w:val="28"/>
          <w:szCs w:val="28"/>
        </w:rPr>
        <w:t>4</w:t>
      </w:r>
      <w:r>
        <w:rPr>
          <w:rFonts w:ascii="仿宋" w:hAnsi="仿宋" w:eastAsia="仿宋"/>
          <w:w w:val="110"/>
          <w:sz w:val="28"/>
          <w:szCs w:val="28"/>
        </w:rPr>
        <w:t xml:space="preserve">. </w:t>
      </w:r>
      <w:r>
        <w:rPr>
          <w:rFonts w:hint="eastAsia" w:ascii="仿宋" w:hAnsi="仿宋" w:eastAsia="仿宋"/>
          <w:sz w:val="28"/>
          <w:szCs w:val="28"/>
        </w:rPr>
        <w:t>学术</w:t>
      </w:r>
      <w:r>
        <w:rPr>
          <w:rFonts w:hint="eastAsia" w:ascii="仿宋" w:hAnsi="仿宋" w:eastAsia="仿宋"/>
          <w:w w:val="110"/>
          <w:sz w:val="28"/>
          <w:szCs w:val="28"/>
        </w:rPr>
        <w:t>训练情况</w:t>
      </w:r>
      <w:bookmarkEnd w:id="16"/>
    </w:p>
    <w:p>
      <w:pPr>
        <w:snapToGrid w:val="0"/>
        <w:spacing w:line="360" w:lineRule="auto"/>
        <w:ind w:firstLine="588" w:firstLineChars="200"/>
        <w:jc w:val="left"/>
        <w:rPr>
          <w:rFonts w:hint="eastAsia" w:ascii="仿宋" w:hAnsi="仿宋" w:eastAsia="仿宋"/>
          <w:spacing w:val="-7"/>
          <w:w w:val="110"/>
          <w:sz w:val="28"/>
          <w:szCs w:val="28"/>
          <w:lang w:val="en-US" w:eastAsia="zh-CN"/>
        </w:rPr>
      </w:pPr>
      <w:r>
        <w:rPr>
          <w:rFonts w:hint="eastAsia" w:ascii="仿宋" w:hAnsi="仿宋" w:eastAsia="仿宋"/>
          <w:spacing w:val="-7"/>
          <w:w w:val="110"/>
          <w:sz w:val="28"/>
          <w:szCs w:val="28"/>
        </w:rPr>
        <w:t>学位点积极开展学术报告，定期举办学术讲座，组织研究生参加省、地（市）经济学和管理学学术年会活动。学位点相关研究所和研究基地也能吸收研究生一起开展科研和学术交流活动，为研究生创造了较多的学术交流渠道。</w:t>
      </w:r>
      <w:r>
        <w:rPr>
          <w:rFonts w:hint="eastAsia" w:ascii="仿宋" w:hAnsi="仿宋" w:eastAsia="仿宋"/>
          <w:spacing w:val="-7"/>
          <w:w w:val="110"/>
          <w:sz w:val="28"/>
          <w:szCs w:val="28"/>
          <w:lang w:val="en-US" w:eastAsia="zh-CN"/>
        </w:rPr>
        <w:t>学院以“数智化”为主题征集论文与案例，举办了吉首大学2023年学术活动节商学院分会场，共收集论文28篇，案例6篇，通过此次学术活动节加强了学生科研能力。</w:t>
      </w:r>
    </w:p>
    <w:p>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lang w:val="en-US" w:eastAsia="zh-CN"/>
        </w:rPr>
        <w:t>另外</w:t>
      </w:r>
      <w:r>
        <w:rPr>
          <w:rFonts w:hint="eastAsia" w:ascii="仿宋" w:hAnsi="仿宋" w:eastAsia="仿宋"/>
          <w:spacing w:val="-7"/>
          <w:w w:val="110"/>
          <w:sz w:val="28"/>
          <w:szCs w:val="28"/>
        </w:rPr>
        <w:t>本年度共举办、承办、参加了202</w:t>
      </w:r>
      <w:r>
        <w:rPr>
          <w:rFonts w:hint="eastAsia" w:ascii="仿宋" w:hAnsi="仿宋" w:eastAsia="仿宋"/>
          <w:spacing w:val="-7"/>
          <w:w w:val="110"/>
          <w:sz w:val="28"/>
          <w:szCs w:val="28"/>
          <w:lang w:val="en-US" w:eastAsia="zh-CN"/>
        </w:rPr>
        <w:t>3</w:t>
      </w:r>
      <w:r>
        <w:rPr>
          <w:rFonts w:hint="eastAsia" w:ascii="仿宋" w:hAnsi="仿宋" w:eastAsia="仿宋"/>
          <w:spacing w:val="-7"/>
          <w:w w:val="110"/>
          <w:sz w:val="28"/>
          <w:szCs w:val="28"/>
        </w:rPr>
        <w:t>年西部综合开发研究会年会</w:t>
      </w:r>
      <w:r>
        <w:rPr>
          <w:rFonts w:hint="eastAsia" w:ascii="仿宋" w:hAnsi="仿宋" w:eastAsia="仿宋"/>
          <w:spacing w:val="-7"/>
          <w:w w:val="110"/>
          <w:sz w:val="28"/>
          <w:szCs w:val="28"/>
          <w:lang w:eastAsia="zh-CN"/>
        </w:rPr>
        <w:t>、西部经济研讨会年会、乡村振兴暨武陵山区论坛、</w:t>
      </w:r>
      <w:r>
        <w:rPr>
          <w:rFonts w:hint="eastAsia" w:ascii="仿宋" w:hAnsi="仿宋" w:eastAsia="仿宋"/>
          <w:spacing w:val="-7"/>
          <w:w w:val="110"/>
          <w:sz w:val="28"/>
          <w:szCs w:val="28"/>
          <w:lang w:val="en-US" w:eastAsia="zh-CN"/>
        </w:rPr>
        <w:t>中国区域经济学会少数民族地区经济专业委员会2023年会、“正大杯”第十四届全国大学生市场调查与分析大赛线上公益培训、第十三届湖南衡社会科学届学术年会、湖南省外国经济学说研究会、湖南省第十五届研究生创新论坛、湖南省管理科学学会年会、第二届“尹世杰”杯大学生学术论文大赛、湖南省技术经济与管理现代化研究学会，</w:t>
      </w:r>
      <w:r>
        <w:rPr>
          <w:rFonts w:hint="eastAsia" w:ascii="仿宋" w:hAnsi="仿宋" w:eastAsia="仿宋"/>
          <w:spacing w:val="-7"/>
          <w:w w:val="110"/>
          <w:sz w:val="28"/>
          <w:szCs w:val="28"/>
        </w:rPr>
        <w:t>获学会优秀论文奖一、二、三等奖奖项共</w:t>
      </w:r>
      <w:r>
        <w:rPr>
          <w:rFonts w:hint="eastAsia" w:ascii="仿宋" w:hAnsi="仿宋" w:eastAsia="仿宋"/>
          <w:spacing w:val="-7"/>
          <w:w w:val="110"/>
          <w:sz w:val="28"/>
          <w:szCs w:val="28"/>
          <w:lang w:val="en-US" w:eastAsia="zh-CN"/>
        </w:rPr>
        <w:t>24</w:t>
      </w:r>
      <w:r>
        <w:rPr>
          <w:rFonts w:hint="eastAsia" w:ascii="仿宋" w:hAnsi="仿宋" w:eastAsia="仿宋"/>
          <w:color w:val="auto"/>
          <w:spacing w:val="-7"/>
          <w:w w:val="110"/>
          <w:sz w:val="28"/>
          <w:szCs w:val="28"/>
        </w:rPr>
        <w:t>项（表</w:t>
      </w:r>
      <w:r>
        <w:rPr>
          <w:rFonts w:hint="eastAsia" w:ascii="仿宋" w:hAnsi="仿宋" w:eastAsia="仿宋"/>
          <w:color w:val="auto"/>
          <w:spacing w:val="-7"/>
          <w:w w:val="110"/>
          <w:sz w:val="28"/>
          <w:szCs w:val="28"/>
          <w:lang w:val="en-US" w:eastAsia="zh-CN"/>
        </w:rPr>
        <w:t>2</w:t>
      </w:r>
      <w:r>
        <w:rPr>
          <w:rFonts w:hint="eastAsia" w:ascii="仿宋" w:hAnsi="仿宋" w:eastAsia="仿宋"/>
          <w:color w:val="auto"/>
          <w:spacing w:val="-7"/>
          <w:w w:val="110"/>
          <w:sz w:val="28"/>
          <w:szCs w:val="28"/>
        </w:rPr>
        <w:t>）</w:t>
      </w:r>
      <w:r>
        <w:rPr>
          <w:rFonts w:hint="eastAsia" w:ascii="仿宋" w:hAnsi="仿宋" w:eastAsia="仿宋"/>
          <w:spacing w:val="-7"/>
          <w:w w:val="110"/>
          <w:sz w:val="28"/>
          <w:szCs w:val="28"/>
        </w:rPr>
        <w:t>。</w:t>
      </w:r>
    </w:p>
    <w:p>
      <w:pPr>
        <w:tabs>
          <w:tab w:val="left" w:pos="1260"/>
        </w:tabs>
        <w:snapToGrid w:val="0"/>
        <w:spacing w:line="360" w:lineRule="auto"/>
        <w:jc w:val="center"/>
        <w:rPr>
          <w:rFonts w:ascii="仿宋" w:hAnsi="仿宋" w:eastAsia="仿宋" w:cs="宋体"/>
          <w:w w:val="115"/>
          <w:sz w:val="24"/>
          <w:szCs w:val="24"/>
        </w:rPr>
      </w:pPr>
      <w:r>
        <w:rPr>
          <w:rFonts w:hint="eastAsia" w:ascii="仿宋" w:hAnsi="仿宋" w:eastAsia="仿宋" w:cs="宋体"/>
          <w:w w:val="115"/>
          <w:sz w:val="24"/>
          <w:szCs w:val="24"/>
        </w:rPr>
        <w:t>表</w:t>
      </w:r>
      <w:r>
        <w:rPr>
          <w:rFonts w:hint="eastAsia" w:ascii="仿宋" w:hAnsi="仿宋" w:eastAsia="仿宋" w:cs="宋体"/>
          <w:w w:val="115"/>
          <w:sz w:val="24"/>
          <w:szCs w:val="24"/>
          <w:lang w:val="en-US" w:eastAsia="zh-CN"/>
        </w:rPr>
        <w:t>2</w:t>
      </w:r>
      <w:r>
        <w:rPr>
          <w:rFonts w:ascii="仿宋" w:hAnsi="仿宋" w:eastAsia="仿宋" w:cs="宋体"/>
          <w:w w:val="115"/>
          <w:sz w:val="24"/>
          <w:szCs w:val="24"/>
        </w:rPr>
        <w:t xml:space="preserve"> </w:t>
      </w:r>
      <w:r>
        <w:rPr>
          <w:rFonts w:hint="eastAsia" w:ascii="仿宋" w:hAnsi="仿宋" w:eastAsia="仿宋" w:cs="宋体"/>
          <w:w w:val="115"/>
          <w:sz w:val="24"/>
          <w:szCs w:val="24"/>
        </w:rPr>
        <w:t>202</w:t>
      </w:r>
      <w:r>
        <w:rPr>
          <w:rFonts w:hint="eastAsia" w:ascii="仿宋" w:hAnsi="仿宋" w:eastAsia="仿宋" w:cs="宋体"/>
          <w:w w:val="115"/>
          <w:sz w:val="24"/>
          <w:szCs w:val="24"/>
          <w:lang w:val="en-US" w:eastAsia="zh-CN"/>
        </w:rPr>
        <w:t>3</w:t>
      </w:r>
      <w:r>
        <w:rPr>
          <w:rFonts w:hint="eastAsia" w:ascii="仿宋" w:hAnsi="仿宋" w:eastAsia="仿宋" w:cs="宋体"/>
          <w:w w:val="115"/>
          <w:sz w:val="24"/>
          <w:szCs w:val="24"/>
        </w:rPr>
        <w:t>年学会论文获奖统计表（部分）</w:t>
      </w:r>
    </w:p>
    <w:tbl>
      <w:tblPr>
        <w:tblStyle w:val="14"/>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5"/>
        <w:gridCol w:w="3269"/>
        <w:gridCol w:w="1115"/>
        <w:gridCol w:w="914"/>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83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姓名</w:t>
            </w:r>
          </w:p>
        </w:tc>
        <w:tc>
          <w:tcPr>
            <w:tcW w:w="326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获奖名称</w:t>
            </w:r>
          </w:p>
        </w:tc>
        <w:tc>
          <w:tcPr>
            <w:tcW w:w="111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获奖等级</w:t>
            </w:r>
          </w:p>
        </w:tc>
        <w:tc>
          <w:tcPr>
            <w:tcW w:w="914"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获奖时间</w:t>
            </w:r>
          </w:p>
        </w:tc>
        <w:tc>
          <w:tcPr>
            <w:tcW w:w="285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bookmarkStart w:id="17" w:name="_Toc92457816"/>
            <w:r>
              <w:rPr>
                <w:rFonts w:hint="eastAsia" w:ascii="仿宋" w:hAnsi="仿宋" w:eastAsia="仿宋"/>
                <w:spacing w:val="-7"/>
                <w:w w:val="110"/>
                <w:sz w:val="22"/>
                <w:szCs w:val="22"/>
                <w:lang w:val="en-US" w:eastAsia="zh-CN"/>
              </w:rPr>
              <w:t>万航</w:t>
            </w:r>
          </w:p>
        </w:tc>
        <w:tc>
          <w:tcPr>
            <w:tcW w:w="326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湖南省管理科学学会</w:t>
            </w:r>
          </w:p>
        </w:tc>
        <w:tc>
          <w:tcPr>
            <w:tcW w:w="111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二等奖</w:t>
            </w:r>
          </w:p>
        </w:tc>
        <w:tc>
          <w:tcPr>
            <w:tcW w:w="914"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2023.12</w:t>
            </w:r>
          </w:p>
        </w:tc>
        <w:tc>
          <w:tcPr>
            <w:tcW w:w="285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湖南省管理科学学会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万航</w:t>
            </w:r>
          </w:p>
        </w:tc>
        <w:tc>
          <w:tcPr>
            <w:tcW w:w="326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湖南省西部综合开发研究会</w:t>
            </w:r>
          </w:p>
        </w:tc>
        <w:tc>
          <w:tcPr>
            <w:tcW w:w="111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三等奖</w:t>
            </w:r>
          </w:p>
        </w:tc>
        <w:tc>
          <w:tcPr>
            <w:tcW w:w="914"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2022.11</w:t>
            </w:r>
          </w:p>
        </w:tc>
        <w:tc>
          <w:tcPr>
            <w:tcW w:w="285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湖南省西部综合开发研究会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胡定国</w:t>
            </w:r>
          </w:p>
        </w:tc>
        <w:tc>
          <w:tcPr>
            <w:tcW w:w="326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湖南省管理科学年会</w:t>
            </w:r>
          </w:p>
        </w:tc>
        <w:tc>
          <w:tcPr>
            <w:tcW w:w="111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二等奖</w:t>
            </w:r>
          </w:p>
        </w:tc>
        <w:tc>
          <w:tcPr>
            <w:tcW w:w="914"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2023.12</w:t>
            </w:r>
          </w:p>
        </w:tc>
        <w:tc>
          <w:tcPr>
            <w:tcW w:w="285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湖南省管理科学学会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周传辉</w:t>
            </w:r>
          </w:p>
        </w:tc>
        <w:tc>
          <w:tcPr>
            <w:tcW w:w="326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湖南省管理科学学会</w:t>
            </w:r>
          </w:p>
        </w:tc>
        <w:tc>
          <w:tcPr>
            <w:tcW w:w="11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二等奖</w:t>
            </w:r>
          </w:p>
        </w:tc>
        <w:tc>
          <w:tcPr>
            <w:tcW w:w="914"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2023.12</w:t>
            </w:r>
          </w:p>
        </w:tc>
        <w:tc>
          <w:tcPr>
            <w:tcW w:w="285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湖南省管理科学学会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郭慧</w:t>
            </w:r>
          </w:p>
        </w:tc>
        <w:tc>
          <w:tcPr>
            <w:tcW w:w="326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第十三届湖南衡社会科学届学术年会</w:t>
            </w:r>
          </w:p>
        </w:tc>
        <w:tc>
          <w:tcPr>
            <w:tcW w:w="11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二等奖</w:t>
            </w:r>
          </w:p>
        </w:tc>
        <w:tc>
          <w:tcPr>
            <w:tcW w:w="914"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2023.11</w:t>
            </w:r>
          </w:p>
        </w:tc>
        <w:tc>
          <w:tcPr>
            <w:tcW w:w="285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湖南省社会科学界学术年会组织委员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黄世瑛</w:t>
            </w:r>
          </w:p>
        </w:tc>
        <w:tc>
          <w:tcPr>
            <w:tcW w:w="326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湖南省西部综合开发研究会</w:t>
            </w:r>
          </w:p>
        </w:tc>
        <w:tc>
          <w:tcPr>
            <w:tcW w:w="11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一等奖</w:t>
            </w:r>
          </w:p>
        </w:tc>
        <w:tc>
          <w:tcPr>
            <w:tcW w:w="914"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2023.11</w:t>
            </w:r>
          </w:p>
        </w:tc>
        <w:tc>
          <w:tcPr>
            <w:tcW w:w="285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湖南省西部综合开发研究会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黄世瑛</w:t>
            </w:r>
          </w:p>
        </w:tc>
        <w:tc>
          <w:tcPr>
            <w:tcW w:w="326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湖南省西部综合开发研究会</w:t>
            </w:r>
          </w:p>
        </w:tc>
        <w:tc>
          <w:tcPr>
            <w:tcW w:w="11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一等奖</w:t>
            </w:r>
          </w:p>
        </w:tc>
        <w:tc>
          <w:tcPr>
            <w:tcW w:w="914"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2023.11</w:t>
            </w:r>
          </w:p>
        </w:tc>
        <w:tc>
          <w:tcPr>
            <w:tcW w:w="285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湖南省西部综合开发研究会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李鑫雯</w:t>
            </w:r>
          </w:p>
        </w:tc>
        <w:tc>
          <w:tcPr>
            <w:tcW w:w="326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湖南省西部综合开发研究会</w:t>
            </w:r>
          </w:p>
        </w:tc>
        <w:tc>
          <w:tcPr>
            <w:tcW w:w="11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一等奖</w:t>
            </w:r>
          </w:p>
        </w:tc>
        <w:tc>
          <w:tcPr>
            <w:tcW w:w="914"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2023.11</w:t>
            </w:r>
          </w:p>
        </w:tc>
        <w:tc>
          <w:tcPr>
            <w:tcW w:w="285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湖南省西部开发研究会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万佳怡</w:t>
            </w:r>
          </w:p>
        </w:tc>
        <w:tc>
          <w:tcPr>
            <w:tcW w:w="326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湖南省管理科学学会年会</w:t>
            </w:r>
          </w:p>
        </w:tc>
        <w:tc>
          <w:tcPr>
            <w:tcW w:w="11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一等奖</w:t>
            </w:r>
          </w:p>
        </w:tc>
        <w:tc>
          <w:tcPr>
            <w:tcW w:w="914"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2023.12</w:t>
            </w:r>
          </w:p>
        </w:tc>
        <w:tc>
          <w:tcPr>
            <w:tcW w:w="285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湖南省管理科学学会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万佳怡</w:t>
            </w:r>
          </w:p>
        </w:tc>
        <w:tc>
          <w:tcPr>
            <w:tcW w:w="326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湖南省管理科学学会年会</w:t>
            </w:r>
          </w:p>
        </w:tc>
        <w:tc>
          <w:tcPr>
            <w:tcW w:w="11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二等奖</w:t>
            </w:r>
          </w:p>
        </w:tc>
        <w:tc>
          <w:tcPr>
            <w:tcW w:w="914"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2023.12</w:t>
            </w:r>
          </w:p>
        </w:tc>
        <w:tc>
          <w:tcPr>
            <w:tcW w:w="285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湖南省管理科学学会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万佳怡</w:t>
            </w:r>
          </w:p>
        </w:tc>
        <w:tc>
          <w:tcPr>
            <w:tcW w:w="326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湖南省西部综合研究会论坛</w:t>
            </w:r>
          </w:p>
        </w:tc>
        <w:tc>
          <w:tcPr>
            <w:tcW w:w="11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一等奖</w:t>
            </w:r>
          </w:p>
        </w:tc>
        <w:tc>
          <w:tcPr>
            <w:tcW w:w="914"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2023.11</w:t>
            </w:r>
          </w:p>
        </w:tc>
        <w:tc>
          <w:tcPr>
            <w:tcW w:w="285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湖南省西部综合研究会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万佳怡</w:t>
            </w:r>
          </w:p>
        </w:tc>
        <w:tc>
          <w:tcPr>
            <w:tcW w:w="326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湖南省西部综合研究会论坛</w:t>
            </w:r>
          </w:p>
        </w:tc>
        <w:tc>
          <w:tcPr>
            <w:tcW w:w="11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三等奖</w:t>
            </w:r>
          </w:p>
        </w:tc>
        <w:tc>
          <w:tcPr>
            <w:tcW w:w="914"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2023.11</w:t>
            </w:r>
          </w:p>
        </w:tc>
        <w:tc>
          <w:tcPr>
            <w:tcW w:w="285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湖南省西部综合研究会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万佳怡</w:t>
            </w:r>
          </w:p>
        </w:tc>
        <w:tc>
          <w:tcPr>
            <w:tcW w:w="326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第二届“尹世杰”杯大学生学术论文大赛</w:t>
            </w:r>
          </w:p>
        </w:tc>
        <w:tc>
          <w:tcPr>
            <w:tcW w:w="11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最佳人气奖</w:t>
            </w:r>
          </w:p>
        </w:tc>
        <w:tc>
          <w:tcPr>
            <w:tcW w:w="914"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2023.11</w:t>
            </w:r>
          </w:p>
        </w:tc>
        <w:tc>
          <w:tcPr>
            <w:tcW w:w="285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湘潭大学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王国涛</w:t>
            </w:r>
          </w:p>
        </w:tc>
        <w:tc>
          <w:tcPr>
            <w:tcW w:w="326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湖南省西部综合开发研究会</w:t>
            </w:r>
          </w:p>
        </w:tc>
        <w:tc>
          <w:tcPr>
            <w:tcW w:w="11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一等奖</w:t>
            </w:r>
          </w:p>
        </w:tc>
        <w:tc>
          <w:tcPr>
            <w:tcW w:w="914"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2023.11</w:t>
            </w:r>
          </w:p>
        </w:tc>
        <w:tc>
          <w:tcPr>
            <w:tcW w:w="285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湖南省西部综合开发研究会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王国涛</w:t>
            </w:r>
          </w:p>
        </w:tc>
        <w:tc>
          <w:tcPr>
            <w:tcW w:w="326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湖南省西部综合开发研究会</w:t>
            </w:r>
          </w:p>
        </w:tc>
        <w:tc>
          <w:tcPr>
            <w:tcW w:w="11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三等奖</w:t>
            </w:r>
          </w:p>
        </w:tc>
        <w:tc>
          <w:tcPr>
            <w:tcW w:w="914"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2023.11</w:t>
            </w:r>
          </w:p>
        </w:tc>
        <w:tc>
          <w:tcPr>
            <w:tcW w:w="285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湖南省西部综合开发研究会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王国涛</w:t>
            </w:r>
          </w:p>
        </w:tc>
        <w:tc>
          <w:tcPr>
            <w:tcW w:w="326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湖南省西部综合开发研究会</w:t>
            </w:r>
          </w:p>
        </w:tc>
        <w:tc>
          <w:tcPr>
            <w:tcW w:w="11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一等奖</w:t>
            </w:r>
          </w:p>
        </w:tc>
        <w:tc>
          <w:tcPr>
            <w:tcW w:w="914"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2023.11</w:t>
            </w:r>
          </w:p>
        </w:tc>
        <w:tc>
          <w:tcPr>
            <w:tcW w:w="285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湖南省西部综合开发研究会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王国涛</w:t>
            </w:r>
          </w:p>
        </w:tc>
        <w:tc>
          <w:tcPr>
            <w:tcW w:w="326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湖南省技术经济与管理现代化研究会</w:t>
            </w:r>
          </w:p>
        </w:tc>
        <w:tc>
          <w:tcPr>
            <w:tcW w:w="11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三等奖</w:t>
            </w:r>
          </w:p>
        </w:tc>
        <w:tc>
          <w:tcPr>
            <w:tcW w:w="914"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2023.12</w:t>
            </w:r>
          </w:p>
        </w:tc>
        <w:tc>
          <w:tcPr>
            <w:tcW w:w="285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湖南省技术经济与管理现代化研究会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张舒阳</w:t>
            </w:r>
          </w:p>
        </w:tc>
        <w:tc>
          <w:tcPr>
            <w:tcW w:w="326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湖南省西部综合开发研究会</w:t>
            </w:r>
          </w:p>
        </w:tc>
        <w:tc>
          <w:tcPr>
            <w:tcW w:w="11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一等奖</w:t>
            </w:r>
          </w:p>
        </w:tc>
        <w:tc>
          <w:tcPr>
            <w:tcW w:w="914"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2023.11</w:t>
            </w:r>
          </w:p>
        </w:tc>
        <w:tc>
          <w:tcPr>
            <w:tcW w:w="285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湖南省西部综合开发研究会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张舒阳</w:t>
            </w:r>
          </w:p>
        </w:tc>
        <w:tc>
          <w:tcPr>
            <w:tcW w:w="326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湖南省管理科学学会</w:t>
            </w:r>
          </w:p>
        </w:tc>
        <w:tc>
          <w:tcPr>
            <w:tcW w:w="11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二等奖</w:t>
            </w:r>
          </w:p>
        </w:tc>
        <w:tc>
          <w:tcPr>
            <w:tcW w:w="914"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2023.12</w:t>
            </w:r>
          </w:p>
        </w:tc>
        <w:tc>
          <w:tcPr>
            <w:tcW w:w="285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湖南省管理科学学会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张舒阳</w:t>
            </w:r>
          </w:p>
        </w:tc>
        <w:tc>
          <w:tcPr>
            <w:tcW w:w="326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湖南省管理科学学会</w:t>
            </w:r>
          </w:p>
        </w:tc>
        <w:tc>
          <w:tcPr>
            <w:tcW w:w="11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三等奖</w:t>
            </w:r>
          </w:p>
        </w:tc>
        <w:tc>
          <w:tcPr>
            <w:tcW w:w="914"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2023.12</w:t>
            </w:r>
          </w:p>
        </w:tc>
        <w:tc>
          <w:tcPr>
            <w:tcW w:w="285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湖南省管理科学学会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赵家傲</w:t>
            </w:r>
          </w:p>
        </w:tc>
        <w:tc>
          <w:tcPr>
            <w:tcW w:w="326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湖南省西部综合开发研究会</w:t>
            </w:r>
          </w:p>
        </w:tc>
        <w:tc>
          <w:tcPr>
            <w:tcW w:w="11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一等奖</w:t>
            </w:r>
          </w:p>
        </w:tc>
        <w:tc>
          <w:tcPr>
            <w:tcW w:w="914"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2023.11</w:t>
            </w:r>
          </w:p>
        </w:tc>
        <w:tc>
          <w:tcPr>
            <w:tcW w:w="285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湖南省西部综合开发研究会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杨淼</w:t>
            </w:r>
          </w:p>
        </w:tc>
        <w:tc>
          <w:tcPr>
            <w:tcW w:w="326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湖南省西部综合开发研究会</w:t>
            </w:r>
          </w:p>
        </w:tc>
        <w:tc>
          <w:tcPr>
            <w:tcW w:w="11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三等奖</w:t>
            </w:r>
          </w:p>
        </w:tc>
        <w:tc>
          <w:tcPr>
            <w:tcW w:w="914"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2023.11</w:t>
            </w:r>
          </w:p>
        </w:tc>
        <w:tc>
          <w:tcPr>
            <w:tcW w:w="285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湖南省西部综合开发研究会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陈美瑜</w:t>
            </w:r>
          </w:p>
        </w:tc>
        <w:tc>
          <w:tcPr>
            <w:tcW w:w="326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湖南省西部综合开发研究会</w:t>
            </w:r>
          </w:p>
        </w:tc>
        <w:tc>
          <w:tcPr>
            <w:tcW w:w="11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一等奖</w:t>
            </w:r>
          </w:p>
        </w:tc>
        <w:tc>
          <w:tcPr>
            <w:tcW w:w="914"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2023.11</w:t>
            </w:r>
          </w:p>
        </w:tc>
        <w:tc>
          <w:tcPr>
            <w:tcW w:w="285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湖南省西部综合开发研究会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陈美瑜</w:t>
            </w:r>
          </w:p>
        </w:tc>
        <w:tc>
          <w:tcPr>
            <w:tcW w:w="326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湖南省西部综合开发研究会</w:t>
            </w:r>
          </w:p>
        </w:tc>
        <w:tc>
          <w:tcPr>
            <w:tcW w:w="11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一等奖</w:t>
            </w:r>
          </w:p>
        </w:tc>
        <w:tc>
          <w:tcPr>
            <w:tcW w:w="914"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2023.11</w:t>
            </w:r>
          </w:p>
        </w:tc>
        <w:tc>
          <w:tcPr>
            <w:tcW w:w="285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湖南省西部综合开发研究会</w:t>
            </w:r>
          </w:p>
        </w:tc>
      </w:tr>
    </w:tbl>
    <w:p>
      <w:pPr>
        <w:snapToGrid w:val="0"/>
        <w:spacing w:line="360" w:lineRule="auto"/>
        <w:ind w:firstLine="616" w:firstLineChars="200"/>
        <w:jc w:val="left"/>
        <w:rPr>
          <w:rFonts w:ascii="仿宋" w:hAnsi="仿宋" w:eastAsia="仿宋"/>
          <w:w w:val="110"/>
          <w:sz w:val="28"/>
          <w:szCs w:val="28"/>
        </w:rPr>
      </w:pPr>
    </w:p>
    <w:p>
      <w:pPr>
        <w:pStyle w:val="4"/>
        <w:snapToGrid w:val="0"/>
        <w:spacing w:before="0" w:after="0" w:line="360" w:lineRule="auto"/>
        <w:ind w:firstLine="618" w:firstLineChars="200"/>
        <w:rPr>
          <w:rFonts w:ascii="仿宋" w:hAnsi="仿宋" w:eastAsia="仿宋"/>
          <w:w w:val="110"/>
          <w:sz w:val="28"/>
          <w:szCs w:val="28"/>
        </w:rPr>
      </w:pPr>
      <w:r>
        <w:rPr>
          <w:rFonts w:ascii="仿宋" w:hAnsi="仿宋" w:eastAsia="仿宋"/>
          <w:w w:val="110"/>
          <w:sz w:val="28"/>
          <w:szCs w:val="28"/>
        </w:rPr>
        <w:t xml:space="preserve">5. </w:t>
      </w:r>
      <w:r>
        <w:rPr>
          <w:rFonts w:hint="eastAsia" w:ascii="仿宋" w:hAnsi="仿宋" w:eastAsia="仿宋"/>
          <w:w w:val="110"/>
          <w:sz w:val="28"/>
          <w:szCs w:val="28"/>
        </w:rPr>
        <w:t>学术</w:t>
      </w:r>
      <w:r>
        <w:rPr>
          <w:rFonts w:hint="eastAsia" w:ascii="仿宋" w:hAnsi="仿宋" w:eastAsia="仿宋"/>
          <w:sz w:val="28"/>
          <w:szCs w:val="28"/>
        </w:rPr>
        <w:t>交流</w:t>
      </w:r>
      <w:r>
        <w:rPr>
          <w:rFonts w:hint="eastAsia" w:ascii="仿宋" w:hAnsi="仿宋" w:eastAsia="仿宋"/>
          <w:w w:val="110"/>
          <w:sz w:val="28"/>
          <w:szCs w:val="28"/>
        </w:rPr>
        <w:t>情况</w:t>
      </w:r>
      <w:bookmarkEnd w:id="17"/>
    </w:p>
    <w:p>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学位点每月利用周末的时间定期为研究生举办“风雨湖大讲堂”，由学位点的外聘专家、本校教授、具有博士学位（或博士在读）的青年教师主要讲授，研究生们踊跃发言，其他老师点评或补充，每堂至少有3-4名具有博士学位或在读的博士教师到场参与点评，研究生参与热情很高，202</w:t>
      </w:r>
      <w:r>
        <w:rPr>
          <w:rFonts w:hint="eastAsia" w:ascii="仿宋" w:hAnsi="仿宋" w:eastAsia="仿宋"/>
          <w:spacing w:val="-7"/>
          <w:w w:val="110"/>
          <w:sz w:val="28"/>
          <w:szCs w:val="28"/>
          <w:lang w:val="en-US" w:eastAsia="zh-CN"/>
        </w:rPr>
        <w:t>3</w:t>
      </w:r>
      <w:r>
        <w:rPr>
          <w:rFonts w:hint="eastAsia" w:ascii="仿宋" w:hAnsi="仿宋" w:eastAsia="仿宋"/>
          <w:spacing w:val="-7"/>
          <w:w w:val="110"/>
          <w:sz w:val="28"/>
          <w:szCs w:val="28"/>
        </w:rPr>
        <w:t>年一共进行了</w:t>
      </w:r>
      <w:r>
        <w:rPr>
          <w:rFonts w:hint="eastAsia" w:ascii="仿宋" w:hAnsi="仿宋" w:eastAsia="仿宋"/>
          <w:spacing w:val="-7"/>
          <w:w w:val="110"/>
          <w:sz w:val="28"/>
          <w:szCs w:val="28"/>
          <w:lang w:val="en-US" w:eastAsia="zh-CN"/>
        </w:rPr>
        <w:t>17</w:t>
      </w:r>
      <w:r>
        <w:rPr>
          <w:rFonts w:hint="eastAsia" w:ascii="仿宋" w:hAnsi="仿宋" w:eastAsia="仿宋"/>
          <w:spacing w:val="-7"/>
          <w:w w:val="110"/>
          <w:sz w:val="28"/>
          <w:szCs w:val="28"/>
        </w:rPr>
        <w:t>讲，具体内容在微信公众号“研经商思”——风雨湖大讲堂内详细报导。</w:t>
      </w:r>
    </w:p>
    <w:p>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除此之外，学位点举办了以研究生主讲的以每学期双周周二晚上为固定时间的研究生沙龙“齐鲁研论”，每堂之少有2-3名具有博士学位或在读博士教师到场参与点评，研究生们踊跃发言，其他老师点评或补充，具体内容通过“研经商思”微信公众号详细</w:t>
      </w:r>
      <w:r>
        <w:rPr>
          <w:rFonts w:hint="eastAsia" w:ascii="仿宋" w:hAnsi="仿宋" w:eastAsia="仿宋"/>
          <w:spacing w:val="-7"/>
          <w:w w:val="110"/>
          <w:sz w:val="28"/>
          <w:szCs w:val="28"/>
          <w:lang w:val="en-US" w:eastAsia="zh-CN"/>
        </w:rPr>
        <w:t>报导</w:t>
      </w:r>
      <w:r>
        <w:rPr>
          <w:rFonts w:hint="eastAsia" w:ascii="仿宋" w:hAnsi="仿宋" w:eastAsia="仿宋"/>
          <w:spacing w:val="-7"/>
          <w:w w:val="110"/>
          <w:sz w:val="28"/>
          <w:szCs w:val="28"/>
        </w:rPr>
        <w:t>。</w:t>
      </w:r>
    </w:p>
    <w:p>
      <w:pPr>
        <w:snapToGrid w:val="0"/>
        <w:spacing w:line="360" w:lineRule="auto"/>
        <w:ind w:firstLine="588" w:firstLineChars="200"/>
        <w:jc w:val="left"/>
        <w:rPr>
          <w:rFonts w:hint="default" w:ascii="仿宋" w:hAnsi="仿宋" w:eastAsia="仿宋"/>
          <w:spacing w:val="-7"/>
          <w:w w:val="110"/>
          <w:sz w:val="28"/>
          <w:szCs w:val="28"/>
          <w:lang w:val="en-US" w:eastAsia="zh-CN"/>
        </w:rPr>
      </w:pPr>
      <w:r>
        <w:rPr>
          <w:rFonts w:hint="eastAsia" w:ascii="仿宋" w:hAnsi="仿宋" w:eastAsia="仿宋"/>
          <w:color w:val="auto"/>
          <w:spacing w:val="-7"/>
          <w:w w:val="110"/>
          <w:sz w:val="28"/>
          <w:szCs w:val="28"/>
        </w:rPr>
        <w:t>本年年度邀请</w:t>
      </w:r>
      <w:r>
        <w:rPr>
          <w:rFonts w:hint="eastAsia" w:ascii="仿宋" w:hAnsi="仿宋" w:eastAsia="仿宋"/>
          <w:color w:val="auto"/>
          <w:spacing w:val="-7"/>
          <w:w w:val="110"/>
          <w:sz w:val="28"/>
          <w:szCs w:val="28"/>
          <w:lang w:val="en-US" w:eastAsia="zh-CN"/>
        </w:rPr>
        <w:t>了华南农业大学文乐副教授、清华大学社会科学学院经济学研究所博士后廖凯诚、湖南师范大学曾雄佩、中国社会科学研究院林跃勤教授、湖南科技大学刘伟副教授、广东外语外贸大学刘胜、湖南</w:t>
      </w:r>
      <w:r>
        <w:rPr>
          <w:rFonts w:hint="eastAsia" w:ascii="仿宋" w:hAnsi="仿宋" w:eastAsia="仿宋"/>
          <w:spacing w:val="-7"/>
          <w:w w:val="110"/>
          <w:sz w:val="28"/>
          <w:szCs w:val="28"/>
          <w:lang w:val="en-US" w:eastAsia="zh-CN"/>
        </w:rPr>
        <w:t>省社会科学院经济研究所所长李晖、中国人民大学周扬副教授等专家开展了经济学相关讲座，其中，廖凯诚、刘伟、刘胜还是学院的优秀毕业生，通过组织学位点教师与研究生进行学习、学术交流，有效提高了学位点师生学术研究能力，并且营造了良好的科研氛围，通过校友也实现了学位点学术传承，互帮互助的精神。</w:t>
      </w:r>
    </w:p>
    <w:p>
      <w:pPr>
        <w:snapToGrid w:val="0"/>
        <w:spacing w:line="360" w:lineRule="auto"/>
        <w:ind w:firstLine="588" w:firstLineChars="200"/>
        <w:jc w:val="left"/>
        <w:rPr>
          <w:rFonts w:ascii="仿宋" w:hAnsi="仿宋" w:eastAsia="仿宋"/>
          <w:spacing w:val="-7"/>
          <w:w w:val="110"/>
          <w:sz w:val="28"/>
          <w:szCs w:val="28"/>
        </w:rPr>
      </w:pPr>
      <w:r>
        <w:rPr>
          <w:rFonts w:hint="eastAsia" w:ascii="仿宋" w:hAnsi="仿宋" w:eastAsia="仿宋"/>
          <w:spacing w:val="-7"/>
          <w:w w:val="110"/>
          <w:sz w:val="28"/>
          <w:szCs w:val="28"/>
        </w:rPr>
        <w:t>学位点一方面创新宣传方式，通过“研经商思”微信公众号，及时推送学术讲座信息、分享学术研究成果、争鸣学术热点、交流学术研究心得、宣传学术达人，另一方面借助学院、武陵山片区扶贫与发展协同创新中心网站平台，定期报道研究生学术沙龙动态，积极营造浓厚的学术氛围。通过一年来的努力，学位点研究生学术氛围明显提升。</w:t>
      </w:r>
    </w:p>
    <w:p>
      <w:pPr>
        <w:pStyle w:val="4"/>
        <w:snapToGrid w:val="0"/>
        <w:spacing w:before="0" w:after="0" w:line="360" w:lineRule="auto"/>
        <w:ind w:firstLine="618" w:firstLineChars="200"/>
        <w:rPr>
          <w:rFonts w:ascii="仿宋" w:hAnsi="仿宋" w:eastAsia="仿宋"/>
          <w:w w:val="110"/>
          <w:sz w:val="28"/>
          <w:szCs w:val="28"/>
        </w:rPr>
      </w:pPr>
      <w:bookmarkStart w:id="18" w:name="_Toc92457817"/>
      <w:r>
        <w:rPr>
          <w:rFonts w:ascii="仿宋" w:hAnsi="仿宋" w:eastAsia="仿宋"/>
          <w:w w:val="110"/>
          <w:sz w:val="28"/>
          <w:szCs w:val="28"/>
        </w:rPr>
        <w:t xml:space="preserve">6. </w:t>
      </w:r>
      <w:r>
        <w:rPr>
          <w:rFonts w:hint="eastAsia" w:ascii="仿宋" w:hAnsi="仿宋" w:eastAsia="仿宋"/>
          <w:w w:val="110"/>
          <w:sz w:val="28"/>
          <w:szCs w:val="28"/>
        </w:rPr>
        <w:t>研究生奖助情况</w:t>
      </w:r>
      <w:bookmarkEnd w:id="18"/>
    </w:p>
    <w:p>
      <w:pPr>
        <w:snapToGrid w:val="0"/>
        <w:spacing w:line="360" w:lineRule="auto"/>
        <w:ind w:firstLine="588" w:firstLineChars="200"/>
        <w:rPr>
          <w:rFonts w:ascii="仿宋" w:hAnsi="仿宋" w:eastAsia="仿宋"/>
          <w:color w:val="auto"/>
          <w:spacing w:val="-7"/>
          <w:w w:val="110"/>
          <w:sz w:val="28"/>
          <w:szCs w:val="28"/>
        </w:rPr>
      </w:pPr>
      <w:r>
        <w:rPr>
          <w:rFonts w:hint="eastAsia" w:ascii="仿宋" w:hAnsi="仿宋" w:eastAsia="仿宋"/>
          <w:spacing w:val="-7"/>
          <w:w w:val="110"/>
          <w:sz w:val="28"/>
          <w:szCs w:val="28"/>
        </w:rPr>
        <w:t>严格按照学校的相关规定评选研究生各类奖助学金，本年度共组织了研究生国家奖学金、学业奖学金、国家助学金，以及研究生三好学生、优秀干部、优秀学位论文等各项评奖评优工作。各项评奖评优均做到了公平、公正、公开、按程序、守时间完成。</w:t>
      </w:r>
      <w:r>
        <w:rPr>
          <w:rFonts w:hint="eastAsia" w:ascii="仿宋" w:hAnsi="仿宋" w:eastAsia="仿宋"/>
          <w:color w:val="auto"/>
          <w:spacing w:val="-7"/>
          <w:w w:val="110"/>
          <w:sz w:val="28"/>
          <w:szCs w:val="28"/>
        </w:rPr>
        <w:t>其中</w:t>
      </w:r>
      <w:r>
        <w:rPr>
          <w:rFonts w:hint="eastAsia" w:ascii="仿宋" w:hAnsi="仿宋" w:eastAsia="仿宋"/>
          <w:color w:val="auto"/>
          <w:spacing w:val="-7"/>
          <w:w w:val="110"/>
          <w:sz w:val="28"/>
          <w:szCs w:val="28"/>
          <w:lang w:eastAsia="zh-CN"/>
        </w:rPr>
        <w:t>，</w:t>
      </w:r>
      <w:r>
        <w:rPr>
          <w:rFonts w:hint="eastAsia" w:ascii="仿宋" w:hAnsi="仿宋" w:eastAsia="仿宋"/>
          <w:color w:val="auto"/>
          <w:spacing w:val="-7"/>
          <w:w w:val="110"/>
          <w:sz w:val="28"/>
          <w:szCs w:val="28"/>
          <w:lang w:val="en-US" w:eastAsia="zh-CN"/>
        </w:rPr>
        <w:t>本学位点王淀坤、夏涛获评优秀研究生干部，万航、殷悦获评三好学生，万航</w:t>
      </w:r>
      <w:r>
        <w:rPr>
          <w:rFonts w:hint="eastAsia" w:ascii="仿宋" w:hAnsi="仿宋" w:eastAsia="仿宋"/>
          <w:color w:val="auto"/>
          <w:spacing w:val="-7"/>
          <w:w w:val="110"/>
          <w:sz w:val="28"/>
          <w:szCs w:val="28"/>
        </w:rPr>
        <w:t>获评国家奖学金，</w:t>
      </w:r>
      <w:r>
        <w:rPr>
          <w:rFonts w:hint="eastAsia" w:ascii="仿宋" w:hAnsi="仿宋" w:eastAsia="仿宋"/>
          <w:color w:val="auto"/>
          <w:spacing w:val="-7"/>
          <w:w w:val="110"/>
          <w:sz w:val="28"/>
          <w:szCs w:val="28"/>
          <w:lang w:val="en-US" w:eastAsia="zh-CN"/>
        </w:rPr>
        <w:t>殷悦</w:t>
      </w:r>
      <w:r>
        <w:rPr>
          <w:rFonts w:hint="eastAsia" w:ascii="仿宋" w:hAnsi="仿宋" w:eastAsia="仿宋"/>
          <w:color w:val="auto"/>
          <w:spacing w:val="-7"/>
          <w:w w:val="110"/>
          <w:sz w:val="28"/>
          <w:szCs w:val="28"/>
        </w:rPr>
        <w:t>获</w:t>
      </w:r>
      <w:r>
        <w:rPr>
          <w:rFonts w:hint="eastAsia" w:ascii="仿宋" w:hAnsi="仿宋" w:eastAsia="仿宋"/>
          <w:color w:val="auto"/>
          <w:spacing w:val="-7"/>
          <w:w w:val="110"/>
          <w:sz w:val="28"/>
          <w:szCs w:val="28"/>
          <w:lang w:val="en-US" w:eastAsia="zh-CN"/>
        </w:rPr>
        <w:t>省</w:t>
      </w:r>
      <w:r>
        <w:rPr>
          <w:rFonts w:hint="eastAsia" w:ascii="仿宋" w:hAnsi="仿宋" w:eastAsia="仿宋"/>
          <w:color w:val="auto"/>
          <w:spacing w:val="-7"/>
          <w:w w:val="110"/>
          <w:sz w:val="28"/>
          <w:szCs w:val="28"/>
        </w:rPr>
        <w:t>级优秀毕业生。</w:t>
      </w:r>
    </w:p>
    <w:p>
      <w:pPr>
        <w:pStyle w:val="13"/>
        <w:snapToGrid w:val="0"/>
        <w:spacing w:after="0" w:line="360" w:lineRule="auto"/>
        <w:rPr>
          <w:rFonts w:ascii="仿宋" w:hAnsi="仿宋" w:eastAsia="仿宋"/>
        </w:rPr>
      </w:pPr>
    </w:p>
    <w:p>
      <w:pPr>
        <w:pStyle w:val="3"/>
        <w:snapToGrid w:val="0"/>
        <w:spacing w:before="0" w:after="0" w:line="360" w:lineRule="auto"/>
        <w:rPr>
          <w:rFonts w:ascii="黑体" w:hAnsi="黑体" w:eastAsia="黑体"/>
          <w:b w:val="0"/>
          <w:bCs w:val="0"/>
        </w:rPr>
      </w:pPr>
      <w:bookmarkStart w:id="19" w:name="_Toc92457818"/>
      <w:r>
        <w:rPr>
          <w:rFonts w:hint="eastAsia" w:ascii="黑体" w:hAnsi="黑体" w:eastAsia="黑体"/>
          <w:b w:val="0"/>
          <w:bCs w:val="0"/>
        </w:rPr>
        <w:t>四、研究生教育改革情况</w:t>
      </w:r>
      <w:bookmarkEnd w:id="19"/>
    </w:p>
    <w:p>
      <w:pPr>
        <w:pStyle w:val="4"/>
        <w:snapToGrid w:val="0"/>
        <w:spacing w:before="0" w:after="0" w:line="360" w:lineRule="auto"/>
        <w:ind w:firstLine="618" w:firstLineChars="200"/>
        <w:rPr>
          <w:rFonts w:ascii="仿宋" w:hAnsi="仿宋" w:eastAsia="仿宋"/>
          <w:w w:val="110"/>
          <w:sz w:val="28"/>
          <w:szCs w:val="28"/>
        </w:rPr>
      </w:pPr>
      <w:bookmarkStart w:id="20" w:name="_Toc92457819"/>
      <w:r>
        <w:rPr>
          <w:rFonts w:ascii="仿宋" w:hAnsi="仿宋" w:eastAsia="仿宋"/>
          <w:w w:val="110"/>
          <w:sz w:val="28"/>
          <w:szCs w:val="28"/>
        </w:rPr>
        <w:t xml:space="preserve">1. </w:t>
      </w:r>
      <w:r>
        <w:rPr>
          <w:rFonts w:hint="eastAsia" w:ascii="仿宋" w:hAnsi="仿宋" w:eastAsia="仿宋"/>
          <w:w w:val="110"/>
          <w:sz w:val="28"/>
          <w:szCs w:val="28"/>
        </w:rPr>
        <w:t>人才</w:t>
      </w:r>
      <w:r>
        <w:rPr>
          <w:rFonts w:hint="eastAsia" w:ascii="仿宋" w:hAnsi="仿宋" w:eastAsia="仿宋"/>
          <w:sz w:val="28"/>
          <w:szCs w:val="28"/>
        </w:rPr>
        <w:t>培养</w:t>
      </w:r>
      <w:r>
        <w:rPr>
          <w:rFonts w:hint="eastAsia" w:ascii="仿宋" w:hAnsi="仿宋" w:eastAsia="仿宋"/>
          <w:w w:val="110"/>
          <w:sz w:val="28"/>
          <w:szCs w:val="28"/>
        </w:rPr>
        <w:t>情况</w:t>
      </w:r>
      <w:bookmarkEnd w:id="20"/>
    </w:p>
    <w:p>
      <w:pPr>
        <w:snapToGrid w:val="0"/>
        <w:spacing w:line="360" w:lineRule="auto"/>
        <w:ind w:firstLine="588" w:firstLineChars="200"/>
        <w:rPr>
          <w:rFonts w:hint="eastAsia" w:ascii="仿宋" w:hAnsi="仿宋" w:eastAsia="仿宋"/>
          <w:spacing w:val="-7"/>
          <w:w w:val="110"/>
          <w:sz w:val="28"/>
          <w:szCs w:val="28"/>
          <w:lang w:val="en-US" w:eastAsia="zh-CN"/>
        </w:rPr>
      </w:pPr>
      <w:r>
        <w:rPr>
          <w:rFonts w:hint="eastAsia" w:ascii="仿宋" w:hAnsi="仿宋" w:eastAsia="仿宋"/>
          <w:spacing w:val="-7"/>
          <w:w w:val="110"/>
          <w:sz w:val="28"/>
          <w:szCs w:val="28"/>
        </w:rPr>
        <w:t>2</w:t>
      </w:r>
      <w:r>
        <w:rPr>
          <w:rFonts w:hint="eastAsia" w:ascii="仿宋" w:hAnsi="仿宋" w:eastAsia="仿宋"/>
          <w:spacing w:val="-7"/>
          <w:w w:val="110"/>
          <w:sz w:val="28"/>
          <w:szCs w:val="28"/>
          <w:lang w:val="en-US" w:eastAsia="zh-CN"/>
        </w:rPr>
        <w:t>023</w:t>
      </w:r>
      <w:r>
        <w:rPr>
          <w:rFonts w:hint="eastAsia" w:ascii="仿宋" w:hAnsi="仿宋" w:eastAsia="仿宋"/>
          <w:spacing w:val="-7"/>
          <w:w w:val="110"/>
          <w:sz w:val="28"/>
          <w:szCs w:val="28"/>
        </w:rPr>
        <w:t>级研究生入学后及时召开了导师和研究生的见面会，落实每个研究生的导师，并推荐了校外导师。强化学术训练平台建设，支持导师之间组建导师组，强化学术研究和人才培养的沟通交流。</w:t>
      </w:r>
      <w:r>
        <w:rPr>
          <w:rFonts w:hint="eastAsia" w:ascii="仿宋" w:hAnsi="仿宋" w:eastAsia="仿宋"/>
          <w:spacing w:val="-7"/>
          <w:w w:val="110"/>
          <w:sz w:val="28"/>
          <w:szCs w:val="28"/>
          <w:lang w:val="en-US" w:eastAsia="zh-CN"/>
        </w:rPr>
        <w:t>其中获湖南省优秀毕业生1名，湖南省创新创业优秀毕业生1名，湖南省优秀硕士学位论文1篇。</w:t>
      </w:r>
    </w:p>
    <w:p>
      <w:pPr>
        <w:snapToGrid w:val="0"/>
        <w:spacing w:line="360" w:lineRule="auto"/>
        <w:ind w:firstLine="588" w:firstLineChars="200"/>
        <w:rPr>
          <w:rFonts w:hint="eastAsia" w:ascii="仿宋" w:hAnsi="仿宋" w:eastAsia="仿宋"/>
          <w:spacing w:val="-7"/>
          <w:w w:val="110"/>
          <w:sz w:val="28"/>
          <w:szCs w:val="28"/>
          <w:lang w:eastAsia="zh-CN"/>
        </w:rPr>
      </w:pPr>
      <w:r>
        <w:rPr>
          <w:rFonts w:hint="eastAsia" w:ascii="仿宋" w:hAnsi="仿宋" w:eastAsia="仿宋"/>
          <w:spacing w:val="-7"/>
          <w:w w:val="110"/>
          <w:sz w:val="28"/>
          <w:szCs w:val="28"/>
          <w:lang w:val="en-US" w:eastAsia="zh-CN"/>
        </w:rPr>
        <w:t>通过学生与导师沟通确定课题题目，学生自主撰写课题申请书，</w:t>
      </w:r>
      <w:r>
        <w:rPr>
          <w:rFonts w:hint="eastAsia" w:ascii="仿宋" w:hAnsi="仿宋" w:eastAsia="仿宋"/>
          <w:color w:val="auto"/>
          <w:spacing w:val="-7"/>
          <w:w w:val="110"/>
          <w:sz w:val="28"/>
          <w:szCs w:val="28"/>
        </w:rPr>
        <w:t>本年度共新增项目1</w:t>
      </w:r>
      <w:r>
        <w:rPr>
          <w:rFonts w:hint="eastAsia" w:ascii="仿宋" w:hAnsi="仿宋" w:eastAsia="仿宋"/>
          <w:color w:val="auto"/>
          <w:spacing w:val="-7"/>
          <w:w w:val="110"/>
          <w:sz w:val="28"/>
          <w:szCs w:val="28"/>
          <w:lang w:val="en-US" w:eastAsia="zh-CN"/>
        </w:rPr>
        <w:t>3</w:t>
      </w:r>
      <w:r>
        <w:rPr>
          <w:rFonts w:hint="eastAsia" w:ascii="仿宋" w:hAnsi="仿宋" w:eastAsia="仿宋"/>
          <w:color w:val="auto"/>
          <w:spacing w:val="-7"/>
          <w:w w:val="110"/>
          <w:sz w:val="28"/>
          <w:szCs w:val="28"/>
        </w:rPr>
        <w:t>项</w:t>
      </w:r>
      <w:r>
        <w:rPr>
          <w:rFonts w:hint="eastAsia" w:ascii="仿宋" w:hAnsi="仿宋" w:eastAsia="仿宋"/>
          <w:color w:val="auto"/>
          <w:spacing w:val="-7"/>
          <w:w w:val="110"/>
          <w:sz w:val="28"/>
          <w:szCs w:val="28"/>
          <w:lang w:eastAsia="zh-CN"/>
        </w:rPr>
        <w:t>，</w:t>
      </w:r>
      <w:r>
        <w:rPr>
          <w:rFonts w:hint="eastAsia" w:ascii="仿宋" w:hAnsi="仿宋" w:eastAsia="仿宋"/>
          <w:color w:val="auto"/>
          <w:spacing w:val="-7"/>
          <w:w w:val="110"/>
          <w:sz w:val="28"/>
          <w:szCs w:val="28"/>
          <w:lang w:val="en-US" w:eastAsia="zh-CN"/>
        </w:rPr>
        <w:t>包括省级研究生科研创新项目1项、省级研究生创新项目1项、校级课题1项、校级研究生科研创新项目3项、湖南省西部经济研究基地项目6项、武陵山民族地区绿色减贫与发展研究中心开放基金项目1项。</w:t>
      </w:r>
      <w:r>
        <w:rPr>
          <w:rFonts w:hint="eastAsia" w:ascii="仿宋" w:hAnsi="仿宋" w:eastAsia="仿宋"/>
          <w:spacing w:val="-7"/>
          <w:w w:val="110"/>
          <w:sz w:val="28"/>
          <w:szCs w:val="28"/>
          <w:lang w:eastAsia="zh-CN"/>
        </w:rPr>
        <w:t>（</w:t>
      </w:r>
      <w:r>
        <w:rPr>
          <w:rFonts w:hint="eastAsia" w:ascii="仿宋" w:hAnsi="仿宋" w:eastAsia="仿宋"/>
          <w:spacing w:val="-7"/>
          <w:w w:val="110"/>
          <w:sz w:val="28"/>
          <w:szCs w:val="28"/>
          <w:lang w:val="en-US" w:eastAsia="zh-CN"/>
        </w:rPr>
        <w:t>表3</w:t>
      </w:r>
      <w:r>
        <w:rPr>
          <w:rFonts w:hint="eastAsia" w:ascii="仿宋" w:hAnsi="仿宋" w:eastAsia="仿宋"/>
          <w:spacing w:val="-7"/>
          <w:w w:val="110"/>
          <w:sz w:val="28"/>
          <w:szCs w:val="28"/>
          <w:lang w:eastAsia="zh-CN"/>
        </w:rPr>
        <w:t>）</w:t>
      </w:r>
      <w:r>
        <w:rPr>
          <w:rFonts w:hint="eastAsia" w:ascii="仿宋" w:hAnsi="仿宋" w:eastAsia="仿宋"/>
          <w:color w:val="auto"/>
          <w:spacing w:val="-7"/>
          <w:w w:val="110"/>
          <w:sz w:val="28"/>
          <w:szCs w:val="28"/>
          <w:lang w:val="en-US" w:eastAsia="zh-CN"/>
        </w:rPr>
        <w:t>。</w:t>
      </w:r>
    </w:p>
    <w:p>
      <w:pPr>
        <w:snapToGrid w:val="0"/>
        <w:spacing w:line="360" w:lineRule="auto"/>
        <w:jc w:val="center"/>
        <w:rPr>
          <w:rFonts w:hint="eastAsia" w:ascii="仿宋" w:hAnsi="仿宋" w:eastAsia="仿宋"/>
          <w:spacing w:val="-7"/>
          <w:w w:val="110"/>
          <w:sz w:val="28"/>
          <w:szCs w:val="28"/>
          <w:lang w:val="en-US" w:eastAsia="zh-CN"/>
        </w:rPr>
      </w:pPr>
      <w:r>
        <w:rPr>
          <w:rFonts w:hint="eastAsia" w:ascii="仿宋" w:hAnsi="仿宋" w:eastAsia="仿宋" w:cs="仿宋"/>
          <w:spacing w:val="-7"/>
          <w:w w:val="110"/>
          <w:sz w:val="24"/>
          <w:szCs w:val="24"/>
          <w:lang w:val="en-US" w:eastAsia="zh-CN"/>
        </w:rPr>
        <w:t>表3  2023年科研项目立项统计表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3"/>
        <w:gridCol w:w="2170"/>
        <w:gridCol w:w="127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4063" w:type="dxa"/>
            <w:vAlign w:val="center"/>
          </w:tcPr>
          <w:p>
            <w:pPr>
              <w:pStyle w:val="13"/>
              <w:keepNext w:val="0"/>
              <w:keepLines w:val="0"/>
              <w:pageBreakBefore w:val="0"/>
              <w:kinsoku/>
              <w:wordWrap/>
              <w:overflowPunct/>
              <w:topLinePunct w:val="0"/>
              <w:autoSpaceDE/>
              <w:autoSpaceDN/>
              <w:bidi w:val="0"/>
              <w:adjustRightInd/>
              <w:snapToGrid/>
              <w:spacing w:after="0"/>
              <w:ind w:left="0" w:leftChars="0" w:firstLine="0" w:firstLineChars="0"/>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项目名称</w:t>
            </w:r>
          </w:p>
        </w:tc>
        <w:tc>
          <w:tcPr>
            <w:tcW w:w="2170" w:type="dxa"/>
            <w:vAlign w:val="center"/>
          </w:tcPr>
          <w:p>
            <w:pPr>
              <w:pStyle w:val="13"/>
              <w:keepNext w:val="0"/>
              <w:keepLines w:val="0"/>
              <w:pageBreakBefore w:val="0"/>
              <w:kinsoku/>
              <w:wordWrap/>
              <w:overflowPunct/>
              <w:topLinePunct w:val="0"/>
              <w:autoSpaceDE/>
              <w:autoSpaceDN/>
              <w:bidi w:val="0"/>
              <w:adjustRightInd/>
              <w:snapToGrid/>
              <w:spacing w:after="0"/>
              <w:ind w:left="0" w:leftChars="0" w:firstLine="0" w:firstLineChars="0"/>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项目性质</w:t>
            </w:r>
          </w:p>
        </w:tc>
        <w:tc>
          <w:tcPr>
            <w:tcW w:w="1275" w:type="dxa"/>
            <w:vAlign w:val="center"/>
          </w:tcPr>
          <w:p>
            <w:pPr>
              <w:pStyle w:val="13"/>
              <w:keepNext w:val="0"/>
              <w:keepLines w:val="0"/>
              <w:pageBreakBefore w:val="0"/>
              <w:kinsoku/>
              <w:wordWrap/>
              <w:overflowPunct/>
              <w:topLinePunct w:val="0"/>
              <w:autoSpaceDE/>
              <w:autoSpaceDN/>
              <w:bidi w:val="0"/>
              <w:adjustRightInd/>
              <w:snapToGrid/>
              <w:spacing w:after="0"/>
              <w:ind w:left="0" w:leftChars="0" w:firstLine="0" w:firstLineChars="0"/>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起止时间</w:t>
            </w:r>
          </w:p>
        </w:tc>
        <w:tc>
          <w:tcPr>
            <w:tcW w:w="1005" w:type="dxa"/>
            <w:vAlign w:val="center"/>
          </w:tcPr>
          <w:p>
            <w:pPr>
              <w:pStyle w:val="13"/>
              <w:keepNext w:val="0"/>
              <w:keepLines w:val="0"/>
              <w:pageBreakBefore w:val="0"/>
              <w:kinsoku/>
              <w:wordWrap/>
              <w:overflowPunct/>
              <w:topLinePunct w:val="0"/>
              <w:autoSpaceDE/>
              <w:autoSpaceDN/>
              <w:bidi w:val="0"/>
              <w:adjustRightInd/>
              <w:snapToGrid/>
              <w:spacing w:after="0"/>
              <w:ind w:left="0" w:leftChars="0" w:firstLine="0" w:firstLineChars="0"/>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6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1"/>
                <w:szCs w:val="21"/>
                <w:u w:val="none"/>
                <w:lang w:val="en-US" w:eastAsia="zh-CN" w:bidi="ar"/>
              </w:rPr>
              <w:t>数字金融助力相对贫困治理的机制研究</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湖南省研究生创新项目</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2023-2024</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万航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6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数字乡村影响农户增收的效应研究</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湖南省西部经济研究基地项目</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2023-2024</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万航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6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数字普惠金融影响区域经济韧性的机制与路径研究--基于企业创新及进入退出的视角</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吉首大学校级课题</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2023-2024</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周传辉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6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1"/>
                <w:szCs w:val="21"/>
                <w:u w:val="none"/>
                <w:lang w:val="en-US" w:eastAsia="zh-CN" w:bidi="ar"/>
              </w:rPr>
              <w:t>湖南省武陵山片区农业经济高质量发展水平测度及影响因素研究</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校级研究生科研创新</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2023-2024</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郭慧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6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湖南人口变化的影响及对策研究</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湖南省级研究生科研创新</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2023-2024</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夏涛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6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仲夏有梦乡村振兴先锋队专业实践团</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吉首大学2023年研究生暑期专业实践活动</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2023-2024</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李鑫雯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6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基于熵权TOPSIS模型的承接产业转移能力评价研究——以湘南湘西示范区为例</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湖南省西部经济研究基地项目</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2023-2024</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仰玉婷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6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林业高质量发展与乡村振兴耦合协调性研究——以南方地区为例</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湖南省西部经济研究基地项目</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2023-2024</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陈熙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6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西南地区经济韧性对区域高质量发展的影响研究</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湖南省西部经济研究基地项目</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2023-2024</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谢佳丽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6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数字生态赋能区域创新水平的提升及机制研究</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校级科研创新</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2023-2024</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张丽丽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6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绿色金融发展助推绿色产业集聚的机制与对策研究</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武陵山民族地区绿色减贫与发展研究中心开放基金项目</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2023-2024</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徐菲菲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6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新型农村集体经济发展的驱动机理和实现机制研究—基于湘西州5个村的调查</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湖南省西部经济研究基地项目</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2023-2024</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时晟博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6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数字乡村发展水平测度及时空演变特征研究—以湖南省为例</w:t>
            </w:r>
          </w:p>
        </w:tc>
        <w:tc>
          <w:tcPr>
            <w:tcW w:w="217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湖南省西部经济研究基地项目</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2023-2024</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张曼</w:t>
            </w:r>
          </w:p>
        </w:tc>
      </w:tr>
    </w:tbl>
    <w:p>
      <w:pPr>
        <w:pStyle w:val="4"/>
        <w:snapToGrid w:val="0"/>
        <w:spacing w:before="0" w:after="0" w:line="360" w:lineRule="auto"/>
        <w:ind w:firstLine="618" w:firstLineChars="200"/>
        <w:rPr>
          <w:rFonts w:hint="eastAsia" w:ascii="仿宋" w:hAnsi="仿宋" w:eastAsia="仿宋"/>
          <w:w w:val="110"/>
          <w:sz w:val="28"/>
          <w:szCs w:val="28"/>
        </w:rPr>
      </w:pPr>
      <w:bookmarkStart w:id="21" w:name="_Toc92457820"/>
    </w:p>
    <w:p>
      <w:pPr>
        <w:pStyle w:val="4"/>
        <w:snapToGrid w:val="0"/>
        <w:spacing w:before="0" w:after="0" w:line="360" w:lineRule="auto"/>
        <w:ind w:firstLine="618" w:firstLineChars="200"/>
        <w:rPr>
          <w:rFonts w:ascii="仿宋" w:hAnsi="仿宋" w:eastAsia="仿宋"/>
          <w:w w:val="110"/>
          <w:sz w:val="28"/>
          <w:szCs w:val="28"/>
        </w:rPr>
      </w:pPr>
      <w:r>
        <w:rPr>
          <w:rFonts w:hint="eastAsia" w:ascii="仿宋" w:hAnsi="仿宋" w:eastAsia="仿宋"/>
          <w:w w:val="110"/>
          <w:sz w:val="28"/>
          <w:szCs w:val="28"/>
        </w:rPr>
        <w:t>2</w:t>
      </w:r>
      <w:r>
        <w:rPr>
          <w:rFonts w:ascii="仿宋" w:hAnsi="仿宋" w:eastAsia="仿宋"/>
          <w:w w:val="110"/>
          <w:sz w:val="28"/>
          <w:szCs w:val="28"/>
        </w:rPr>
        <w:t xml:space="preserve">. </w:t>
      </w:r>
      <w:r>
        <w:rPr>
          <w:rFonts w:hint="eastAsia" w:ascii="仿宋" w:hAnsi="仿宋" w:eastAsia="仿宋"/>
          <w:w w:val="110"/>
          <w:sz w:val="28"/>
          <w:szCs w:val="28"/>
        </w:rPr>
        <w:t>教师队伍</w:t>
      </w:r>
      <w:r>
        <w:rPr>
          <w:rFonts w:hint="eastAsia" w:ascii="仿宋" w:hAnsi="仿宋" w:eastAsia="仿宋"/>
          <w:sz w:val="28"/>
          <w:szCs w:val="28"/>
        </w:rPr>
        <w:t>建设</w:t>
      </w:r>
      <w:r>
        <w:rPr>
          <w:rFonts w:hint="eastAsia" w:ascii="仿宋" w:hAnsi="仿宋" w:eastAsia="仿宋"/>
          <w:w w:val="110"/>
          <w:sz w:val="28"/>
          <w:szCs w:val="28"/>
        </w:rPr>
        <w:t>情况</w:t>
      </w:r>
      <w:bookmarkEnd w:id="21"/>
    </w:p>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目前应用经济学硕士点共有专任教师35人，其中教授12人、副教授14人，博士19人，硕士生导师1</w:t>
      </w:r>
      <w:r>
        <w:rPr>
          <w:rFonts w:hint="eastAsia" w:ascii="仿宋" w:hAnsi="仿宋" w:eastAsia="仿宋"/>
          <w:spacing w:val="-7"/>
          <w:w w:val="110"/>
          <w:sz w:val="28"/>
          <w:szCs w:val="28"/>
          <w:lang w:val="en-US" w:eastAsia="zh-CN"/>
        </w:rPr>
        <w:t>9</w:t>
      </w:r>
      <w:r>
        <w:rPr>
          <w:rFonts w:hint="eastAsia" w:ascii="仿宋" w:hAnsi="仿宋" w:eastAsia="仿宋"/>
          <w:spacing w:val="-7"/>
          <w:w w:val="110"/>
          <w:sz w:val="28"/>
          <w:szCs w:val="28"/>
        </w:rPr>
        <w:t>人，骨干教师或学术活跃教师19名，占比52.78%；教师年龄结构以中青年教师为主，45岁以下教师23位，占比65.71%；学缘结构合理，多来自日本山口大学、中国农业科学院、武汉大学、中央财经大学、中南大学、华中科技大学、中山大学、西南财经大学等国内外著名高校。</w:t>
      </w:r>
    </w:p>
    <w:p>
      <w:pPr>
        <w:snapToGrid w:val="0"/>
        <w:spacing w:line="360" w:lineRule="auto"/>
        <w:ind w:firstLine="588" w:firstLineChars="200"/>
        <w:rPr>
          <w:rFonts w:hint="eastAsia" w:ascii="仿宋" w:hAnsi="仿宋" w:eastAsia="仿宋"/>
          <w:spacing w:val="-7"/>
          <w:w w:val="110"/>
          <w:sz w:val="28"/>
          <w:szCs w:val="28"/>
          <w:lang w:eastAsia="zh-CN"/>
        </w:rPr>
      </w:pPr>
      <w:r>
        <w:rPr>
          <w:rFonts w:hint="eastAsia" w:ascii="仿宋" w:hAnsi="仿宋" w:eastAsia="仿宋"/>
          <w:spacing w:val="-7"/>
          <w:w w:val="110"/>
          <w:sz w:val="28"/>
          <w:szCs w:val="28"/>
        </w:rPr>
        <w:t>学位点导师主要方向与团队：（1）区域经济学方向：丁建军、冷志明、商兆奎、李峰、吴雄周</w:t>
      </w:r>
      <w:r>
        <w:rPr>
          <w:rFonts w:hint="eastAsia" w:ascii="仿宋" w:hAnsi="仿宋" w:eastAsia="仿宋"/>
          <w:spacing w:val="-7"/>
          <w:w w:val="110"/>
          <w:sz w:val="28"/>
          <w:szCs w:val="28"/>
          <w:lang w:eastAsia="zh-CN"/>
        </w:rPr>
        <w:t>、</w:t>
      </w:r>
      <w:r>
        <w:rPr>
          <w:rFonts w:hint="eastAsia" w:ascii="仿宋" w:hAnsi="仿宋" w:eastAsia="仿宋"/>
          <w:spacing w:val="-7"/>
          <w:w w:val="110"/>
          <w:sz w:val="28"/>
          <w:szCs w:val="28"/>
          <w:lang w:val="en-US" w:eastAsia="zh-CN"/>
        </w:rPr>
        <w:t>杨正华</w:t>
      </w:r>
      <w:r>
        <w:rPr>
          <w:rFonts w:hint="eastAsia" w:ascii="仿宋" w:hAnsi="仿宋" w:eastAsia="仿宋"/>
          <w:spacing w:val="-7"/>
          <w:w w:val="110"/>
          <w:sz w:val="28"/>
          <w:szCs w:val="28"/>
        </w:rPr>
        <w:t>。（</w:t>
      </w:r>
      <w:r>
        <w:rPr>
          <w:rFonts w:ascii="仿宋" w:hAnsi="仿宋" w:eastAsia="仿宋"/>
          <w:spacing w:val="-7"/>
          <w:w w:val="110"/>
          <w:sz w:val="28"/>
          <w:szCs w:val="28"/>
        </w:rPr>
        <w:t>2</w:t>
      </w:r>
      <w:r>
        <w:rPr>
          <w:rFonts w:hint="eastAsia" w:ascii="仿宋" w:hAnsi="仿宋" w:eastAsia="仿宋"/>
          <w:spacing w:val="-7"/>
          <w:w w:val="110"/>
          <w:sz w:val="28"/>
          <w:szCs w:val="28"/>
        </w:rPr>
        <w:t>）产业经济学方向：蒋辉、李湘玲、杨宗锦、叶明霞、鲁明勇。（</w:t>
      </w:r>
      <w:r>
        <w:rPr>
          <w:rFonts w:ascii="仿宋" w:hAnsi="仿宋" w:eastAsia="仿宋"/>
          <w:spacing w:val="-7"/>
          <w:w w:val="110"/>
          <w:sz w:val="28"/>
          <w:szCs w:val="28"/>
        </w:rPr>
        <w:t>3</w:t>
      </w:r>
      <w:r>
        <w:rPr>
          <w:rFonts w:hint="eastAsia" w:ascii="仿宋" w:hAnsi="仿宋" w:eastAsia="仿宋"/>
          <w:spacing w:val="-7"/>
          <w:w w:val="110"/>
          <w:sz w:val="28"/>
          <w:szCs w:val="28"/>
        </w:rPr>
        <w:t>）</w:t>
      </w:r>
      <w:r>
        <w:rPr>
          <w:rFonts w:hint="eastAsia" w:ascii="仿宋" w:hAnsi="仿宋" w:eastAsia="仿宋"/>
          <w:spacing w:val="-7"/>
          <w:w w:val="110"/>
          <w:sz w:val="28"/>
          <w:szCs w:val="28"/>
          <w:lang w:val="en-US" w:eastAsia="zh-CN"/>
        </w:rPr>
        <w:t>金融学方向：彭耿、黄利文、于正东、钟高峥。</w:t>
      </w:r>
      <w:r>
        <w:rPr>
          <w:rFonts w:hint="eastAsia" w:ascii="仿宋" w:hAnsi="仿宋" w:eastAsia="仿宋"/>
          <w:spacing w:val="-7"/>
          <w:w w:val="110"/>
          <w:sz w:val="28"/>
          <w:szCs w:val="28"/>
          <w:lang w:eastAsia="zh-CN"/>
        </w:rPr>
        <w:t>（</w:t>
      </w:r>
      <w:r>
        <w:rPr>
          <w:rFonts w:hint="eastAsia" w:ascii="仿宋" w:hAnsi="仿宋" w:eastAsia="仿宋"/>
          <w:spacing w:val="-7"/>
          <w:w w:val="110"/>
          <w:sz w:val="28"/>
          <w:szCs w:val="28"/>
          <w:lang w:val="en-US" w:eastAsia="zh-CN"/>
        </w:rPr>
        <w:t>4</w:t>
      </w:r>
      <w:r>
        <w:rPr>
          <w:rFonts w:hint="eastAsia" w:ascii="仿宋" w:hAnsi="仿宋" w:eastAsia="仿宋"/>
          <w:spacing w:val="-7"/>
          <w:w w:val="110"/>
          <w:sz w:val="28"/>
          <w:szCs w:val="28"/>
          <w:lang w:eastAsia="zh-CN"/>
        </w:rPr>
        <w:t>）国民经济学方向：李琼、邓永勤、游新彩、殷强。</w:t>
      </w:r>
    </w:p>
    <w:p>
      <w:pPr>
        <w:snapToGrid w:val="0"/>
        <w:spacing w:line="360" w:lineRule="auto"/>
        <w:ind w:firstLine="588" w:firstLineChars="200"/>
        <w:rPr>
          <w:rFonts w:hint="eastAsia" w:ascii="仿宋" w:hAnsi="仿宋" w:eastAsia="仿宋"/>
          <w:color w:val="auto"/>
          <w:spacing w:val="-7"/>
          <w:w w:val="110"/>
          <w:sz w:val="28"/>
          <w:szCs w:val="28"/>
        </w:rPr>
      </w:pPr>
      <w:r>
        <w:rPr>
          <w:rFonts w:hint="eastAsia" w:ascii="仿宋" w:hAnsi="仿宋" w:eastAsia="仿宋"/>
          <w:color w:val="auto"/>
          <w:spacing w:val="-7"/>
          <w:w w:val="110"/>
          <w:sz w:val="28"/>
          <w:szCs w:val="28"/>
          <w:lang w:val="en-US" w:eastAsia="zh-CN"/>
        </w:rPr>
        <w:t>同时，学位点坚持已有导师的培养与培训，共举办了以“正师德师风”及“提高导师业务水平”等为主题的导师培训活动多场。所有新聘导师均实现了培训上岗，老导师被聘湖南省普通高校本科教育指导委员会委员2人，本年度</w:t>
      </w:r>
      <w:r>
        <w:rPr>
          <w:rFonts w:hint="eastAsia" w:ascii="仿宋" w:hAnsi="仿宋" w:eastAsia="仿宋"/>
          <w:color w:val="auto"/>
          <w:spacing w:val="-7"/>
          <w:w w:val="110"/>
          <w:sz w:val="28"/>
          <w:szCs w:val="28"/>
        </w:rPr>
        <w:t>获评湖南省高校黄大年式教学团队1个；</w:t>
      </w:r>
      <w:r>
        <w:rPr>
          <w:rFonts w:hint="eastAsia" w:ascii="仿宋" w:hAnsi="仿宋" w:eastAsia="仿宋"/>
          <w:color w:val="auto"/>
          <w:spacing w:val="-7"/>
          <w:w w:val="110"/>
          <w:sz w:val="28"/>
          <w:szCs w:val="28"/>
          <w:lang w:val="en-US" w:eastAsia="zh-CN"/>
        </w:rPr>
        <w:t>专任教师中有两位受国家留学基金委公派留学项目资助分别赴日本亚洲成长研究所和日本九州大学从事博士后研究。同时</w:t>
      </w:r>
      <w:r>
        <w:rPr>
          <w:rFonts w:hint="eastAsia" w:ascii="仿宋" w:hAnsi="仿宋" w:eastAsia="仿宋"/>
          <w:color w:val="auto"/>
          <w:spacing w:val="-7"/>
          <w:w w:val="110"/>
          <w:sz w:val="28"/>
          <w:szCs w:val="28"/>
        </w:rPr>
        <w:t>积极联系对接英国约克大学（世界排名第150名）管理学院供应链管理首席教授Jeff Jia教授申报长江学者讲座教授，并特邀其成为</w:t>
      </w:r>
      <w:r>
        <w:rPr>
          <w:rFonts w:hint="eastAsia" w:ascii="仿宋" w:hAnsi="仿宋" w:eastAsia="仿宋"/>
          <w:color w:val="auto"/>
          <w:spacing w:val="-7"/>
          <w:w w:val="110"/>
          <w:sz w:val="28"/>
          <w:szCs w:val="28"/>
          <w:lang w:val="en-US" w:eastAsia="zh-CN"/>
        </w:rPr>
        <w:t>学位点</w:t>
      </w:r>
      <w:r>
        <w:rPr>
          <w:rFonts w:hint="eastAsia" w:ascii="仿宋" w:hAnsi="仿宋" w:eastAsia="仿宋"/>
          <w:color w:val="auto"/>
          <w:spacing w:val="-7"/>
          <w:w w:val="110"/>
          <w:sz w:val="28"/>
          <w:szCs w:val="28"/>
        </w:rPr>
        <w:t>特聘教授</w:t>
      </w:r>
      <w:r>
        <w:rPr>
          <w:rFonts w:hint="eastAsia" w:ascii="仿宋" w:hAnsi="仿宋" w:eastAsia="仿宋"/>
          <w:color w:val="auto"/>
          <w:spacing w:val="-7"/>
          <w:w w:val="110"/>
          <w:sz w:val="28"/>
          <w:szCs w:val="28"/>
          <w:lang w:eastAsia="zh-CN"/>
        </w:rPr>
        <w:t>；</w:t>
      </w:r>
      <w:r>
        <w:rPr>
          <w:rFonts w:hint="eastAsia" w:ascii="仿宋" w:hAnsi="仿宋" w:eastAsia="仿宋"/>
          <w:color w:val="auto"/>
          <w:spacing w:val="-7"/>
          <w:w w:val="110"/>
          <w:sz w:val="28"/>
          <w:szCs w:val="28"/>
        </w:rPr>
        <w:t>组织工作专班到湖南省和周边贵州、四川、重庆等招收经管类博士的兄弟院校就引进博士进行走访宣传，积极参加全国各高校举办的博士专场招聘会引进高层次人才。</w:t>
      </w:r>
    </w:p>
    <w:p>
      <w:pPr>
        <w:pStyle w:val="4"/>
        <w:snapToGrid w:val="0"/>
        <w:spacing w:before="0" w:after="0" w:line="360" w:lineRule="auto"/>
        <w:ind w:firstLine="618" w:firstLineChars="200"/>
        <w:rPr>
          <w:rFonts w:hint="eastAsia" w:ascii="仿宋" w:hAnsi="仿宋" w:eastAsia="仿宋"/>
          <w:w w:val="110"/>
          <w:sz w:val="28"/>
          <w:szCs w:val="28"/>
        </w:rPr>
      </w:pPr>
      <w:bookmarkStart w:id="22" w:name="_Toc92457821"/>
      <w:r>
        <w:rPr>
          <w:rFonts w:ascii="仿宋" w:hAnsi="仿宋" w:eastAsia="仿宋"/>
          <w:w w:val="110"/>
          <w:sz w:val="28"/>
          <w:szCs w:val="28"/>
        </w:rPr>
        <w:t xml:space="preserve">3. </w:t>
      </w:r>
      <w:r>
        <w:rPr>
          <w:rFonts w:hint="eastAsia" w:ascii="仿宋" w:hAnsi="仿宋" w:eastAsia="仿宋"/>
          <w:sz w:val="28"/>
          <w:szCs w:val="28"/>
        </w:rPr>
        <w:t>科学研究</w:t>
      </w:r>
      <w:r>
        <w:rPr>
          <w:rFonts w:hint="eastAsia" w:ascii="仿宋" w:hAnsi="仿宋" w:eastAsia="仿宋"/>
          <w:w w:val="110"/>
          <w:sz w:val="28"/>
          <w:szCs w:val="28"/>
        </w:rPr>
        <w:t>情况</w:t>
      </w:r>
      <w:bookmarkEnd w:id="22"/>
    </w:p>
    <w:p>
      <w:pPr>
        <w:ind w:firstLine="560" w:firstLineChars="200"/>
        <w:rPr>
          <w:rFonts w:hint="eastAsia"/>
        </w:rPr>
      </w:pPr>
      <w:r>
        <w:rPr>
          <w:rFonts w:hint="eastAsia" w:ascii="仿宋" w:hAnsi="仿宋" w:eastAsia="仿宋" w:cs="仿宋"/>
          <w:sz w:val="28"/>
          <w:szCs w:val="28"/>
        </w:rPr>
        <w:t>本学位点研究生在完成学位授予的论文要求的同时，积极开展学术论文写作与发表，2023年度本学位点研究生共发表论文19篇，其中CSSCI文章共4篇，分别发表于地理研究、吉首大学学报(社会科学版)、地理科学进展、自然资源学报期刊，平均影响因子达到了5以上，在国内相关学术领域形成了重要影响，也提升了学位点研究生学术能力（表4）。</w:t>
      </w:r>
    </w:p>
    <w:tbl>
      <w:tblPr>
        <w:tblStyle w:val="15"/>
        <w:tblpPr w:leftFromText="180" w:rightFromText="180" w:vertAnchor="text" w:horzAnchor="page" w:tblpXSpec="center" w:tblpY="52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4329"/>
        <w:gridCol w:w="2012"/>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293" w:type="dxa"/>
            <w:gridSpan w:val="4"/>
            <w:tcBorders>
              <w:top w:val="nil"/>
              <w:left w:val="nil"/>
              <w:right w:val="nil"/>
            </w:tcBorders>
            <w:vAlign w:val="center"/>
          </w:tcPr>
          <w:p>
            <w:pPr>
              <w:pStyle w:val="1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i w:val="0"/>
                <w:iCs w:val="0"/>
                <w:color w:val="000000"/>
                <w:kern w:val="0"/>
                <w:sz w:val="20"/>
                <w:szCs w:val="20"/>
                <w:u w:val="none"/>
                <w:lang w:val="en-US" w:eastAsia="zh-CN" w:bidi="ar"/>
              </w:rPr>
            </w:pPr>
            <w:r>
              <w:rPr>
                <w:rFonts w:hint="eastAsia" w:ascii="仿宋" w:hAnsi="仿宋" w:eastAsia="仿宋"/>
                <w:spacing w:val="-7"/>
                <w:w w:val="110"/>
                <w:sz w:val="24"/>
                <w:szCs w:val="24"/>
                <w:lang w:val="en-US" w:eastAsia="zh-CN"/>
              </w:rPr>
              <w:t>表4  2023年论文发表统计表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kern w:val="2"/>
                <w:sz w:val="20"/>
                <w:szCs w:val="20"/>
                <w:u w:val="none"/>
                <w:lang w:val="en-US" w:eastAsia="zh-CN" w:bidi="ar-SA"/>
              </w:rPr>
            </w:pPr>
            <w:r>
              <w:rPr>
                <w:rFonts w:hint="eastAsia" w:ascii="仿宋" w:hAnsi="仿宋" w:eastAsia="仿宋" w:cs="仿宋"/>
                <w:b/>
                <w:bCs/>
                <w:i w:val="0"/>
                <w:iCs w:val="0"/>
                <w:color w:val="000000"/>
                <w:kern w:val="0"/>
                <w:sz w:val="20"/>
                <w:szCs w:val="20"/>
                <w:u w:val="none"/>
                <w:lang w:val="en-US" w:eastAsia="zh-CN" w:bidi="ar"/>
              </w:rPr>
              <w:t>作者</w:t>
            </w:r>
          </w:p>
        </w:tc>
        <w:tc>
          <w:tcPr>
            <w:tcW w:w="4329"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kern w:val="2"/>
                <w:sz w:val="20"/>
                <w:szCs w:val="20"/>
                <w:u w:val="none"/>
                <w:lang w:val="en-US" w:eastAsia="zh-CN" w:bidi="ar-SA"/>
              </w:rPr>
            </w:pPr>
            <w:r>
              <w:rPr>
                <w:rFonts w:hint="eastAsia" w:ascii="仿宋" w:hAnsi="仿宋" w:eastAsia="仿宋" w:cs="仿宋"/>
                <w:b/>
                <w:bCs/>
                <w:i w:val="0"/>
                <w:iCs w:val="0"/>
                <w:color w:val="000000"/>
                <w:kern w:val="0"/>
                <w:sz w:val="20"/>
                <w:szCs w:val="20"/>
                <w:u w:val="none"/>
                <w:lang w:val="en-US" w:eastAsia="zh-CN" w:bidi="ar"/>
              </w:rPr>
              <w:t>论文名称</w:t>
            </w:r>
          </w:p>
        </w:tc>
        <w:tc>
          <w:tcPr>
            <w:tcW w:w="20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kern w:val="2"/>
                <w:sz w:val="20"/>
                <w:szCs w:val="20"/>
                <w:u w:val="none"/>
                <w:lang w:val="en-US" w:eastAsia="zh-CN" w:bidi="ar-SA"/>
              </w:rPr>
            </w:pPr>
            <w:r>
              <w:rPr>
                <w:rFonts w:hint="eastAsia" w:ascii="仿宋" w:hAnsi="仿宋" w:eastAsia="仿宋" w:cs="仿宋"/>
                <w:b/>
                <w:bCs/>
                <w:i w:val="0"/>
                <w:iCs w:val="0"/>
                <w:color w:val="000000"/>
                <w:kern w:val="0"/>
                <w:sz w:val="20"/>
                <w:szCs w:val="20"/>
                <w:u w:val="none"/>
                <w:lang w:val="en-US" w:eastAsia="zh-CN" w:bidi="ar"/>
              </w:rPr>
              <w:t>期刊名称</w:t>
            </w:r>
          </w:p>
        </w:tc>
        <w:tc>
          <w:tcPr>
            <w:tcW w:w="10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kern w:val="2"/>
                <w:sz w:val="20"/>
                <w:szCs w:val="20"/>
                <w:u w:val="none"/>
                <w:lang w:val="en-US" w:eastAsia="zh-CN" w:bidi="ar-SA"/>
              </w:rPr>
            </w:pPr>
            <w:r>
              <w:rPr>
                <w:rFonts w:hint="eastAsia" w:ascii="仿宋" w:hAnsi="仿宋" w:eastAsia="仿宋" w:cs="仿宋"/>
                <w:b/>
                <w:bCs/>
                <w:i w:val="0"/>
                <w:iCs w:val="0"/>
                <w:color w:val="000000"/>
                <w:kern w:val="0"/>
                <w:sz w:val="20"/>
                <w:szCs w:val="20"/>
                <w:u w:val="none"/>
                <w:lang w:val="en-US" w:eastAsia="zh-CN" w:bidi="ar"/>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王淀坤</w:t>
            </w:r>
          </w:p>
        </w:tc>
        <w:tc>
          <w:tcPr>
            <w:tcW w:w="4329"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长三角地区专精特新“小巨人”企业空间分布及影响因素研究</w:t>
            </w:r>
          </w:p>
        </w:tc>
        <w:tc>
          <w:tcPr>
            <w:tcW w:w="20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地理研究</w:t>
            </w:r>
          </w:p>
        </w:tc>
        <w:tc>
          <w:tcPr>
            <w:tcW w:w="10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王淀坤</w:t>
            </w:r>
          </w:p>
        </w:tc>
        <w:tc>
          <w:tcPr>
            <w:tcW w:w="4329"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城镇化驱动乡村重构的机制分析——以江浙地区为例</w:t>
            </w:r>
          </w:p>
        </w:tc>
        <w:tc>
          <w:tcPr>
            <w:tcW w:w="20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新疆农垦经济</w:t>
            </w:r>
          </w:p>
        </w:tc>
        <w:tc>
          <w:tcPr>
            <w:tcW w:w="10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王淀坤</w:t>
            </w:r>
          </w:p>
        </w:tc>
        <w:tc>
          <w:tcPr>
            <w:tcW w:w="4329"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农旅融合驱动乡村产业韧性提升研究——以湖南双峰县基地农旅为例</w:t>
            </w:r>
          </w:p>
        </w:tc>
        <w:tc>
          <w:tcPr>
            <w:tcW w:w="20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南方农机</w:t>
            </w:r>
          </w:p>
        </w:tc>
        <w:tc>
          <w:tcPr>
            <w:tcW w:w="10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王淀坤</w:t>
            </w:r>
          </w:p>
        </w:tc>
        <w:tc>
          <w:tcPr>
            <w:tcW w:w="4329"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“撤县设区”能提升区域全要素生产率吗?——来自2000—2018年市域尺度的经验证据</w:t>
            </w:r>
          </w:p>
        </w:tc>
        <w:tc>
          <w:tcPr>
            <w:tcW w:w="20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吉首大学学报(社会科学版)</w:t>
            </w:r>
          </w:p>
        </w:tc>
        <w:tc>
          <w:tcPr>
            <w:tcW w:w="10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万航</w:t>
            </w:r>
          </w:p>
        </w:tc>
        <w:tc>
          <w:tcPr>
            <w:tcW w:w="4329"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中国数字乡村发展的空间特征及其农户增收效应——基于县域数字乡村指数与CHFS的实证分析</w:t>
            </w:r>
          </w:p>
        </w:tc>
        <w:tc>
          <w:tcPr>
            <w:tcW w:w="20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自然资源学报</w:t>
            </w:r>
          </w:p>
        </w:tc>
        <w:tc>
          <w:tcPr>
            <w:tcW w:w="10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胡定国</w:t>
            </w:r>
          </w:p>
        </w:tc>
        <w:tc>
          <w:tcPr>
            <w:tcW w:w="4329"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长三角地区专精特新企业空间分布及影响因素的尺度效应——基于缓冲区与MGWR的分析</w:t>
            </w:r>
          </w:p>
        </w:tc>
        <w:tc>
          <w:tcPr>
            <w:tcW w:w="20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地理科学进展</w:t>
            </w:r>
          </w:p>
        </w:tc>
        <w:tc>
          <w:tcPr>
            <w:tcW w:w="10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程慧慧</w:t>
            </w:r>
          </w:p>
        </w:tc>
        <w:tc>
          <w:tcPr>
            <w:tcW w:w="4329"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数字经济助力农业现代化发展现状及对策</w:t>
            </w:r>
          </w:p>
        </w:tc>
        <w:tc>
          <w:tcPr>
            <w:tcW w:w="20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科技和产业</w:t>
            </w:r>
          </w:p>
        </w:tc>
        <w:tc>
          <w:tcPr>
            <w:tcW w:w="10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程慧慧</w:t>
            </w:r>
          </w:p>
        </w:tc>
        <w:tc>
          <w:tcPr>
            <w:tcW w:w="4329"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数字经济赋能农业现代化影响的效应分析</w:t>
            </w:r>
          </w:p>
        </w:tc>
        <w:tc>
          <w:tcPr>
            <w:tcW w:w="20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云南农业大学学报(社会科学)</w:t>
            </w:r>
          </w:p>
        </w:tc>
        <w:tc>
          <w:tcPr>
            <w:tcW w:w="10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丁楠</w:t>
            </w:r>
          </w:p>
        </w:tc>
        <w:tc>
          <w:tcPr>
            <w:tcW w:w="4329"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乡村振兴背景下乡村文旅融合发展路径探究-以苏州市树山生态村为例</w:t>
            </w:r>
          </w:p>
        </w:tc>
        <w:tc>
          <w:tcPr>
            <w:tcW w:w="20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旅游纵览</w:t>
            </w:r>
          </w:p>
        </w:tc>
        <w:tc>
          <w:tcPr>
            <w:tcW w:w="10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郭慧</w:t>
            </w:r>
          </w:p>
        </w:tc>
        <w:tc>
          <w:tcPr>
            <w:tcW w:w="4329"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1"/>
                <w:szCs w:val="21"/>
                <w:u w:val="none"/>
                <w:lang w:val="en-US" w:eastAsia="zh-CN" w:bidi="ar"/>
              </w:rPr>
              <w:t>湖南省农业高质量发展水平测度和协调性研究</w:t>
            </w:r>
          </w:p>
        </w:tc>
        <w:tc>
          <w:tcPr>
            <w:tcW w:w="20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云南农业大学学报</w:t>
            </w:r>
          </w:p>
        </w:tc>
        <w:tc>
          <w:tcPr>
            <w:tcW w:w="10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郭慧</w:t>
            </w:r>
          </w:p>
        </w:tc>
        <w:tc>
          <w:tcPr>
            <w:tcW w:w="4329"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1"/>
                <w:szCs w:val="21"/>
                <w:u w:val="none"/>
                <w:lang w:val="en-US" w:eastAsia="zh-CN" w:bidi="ar"/>
              </w:rPr>
              <w:t>农业经济高质量发展水平测度及时空格局演变研究——以武陵山区为例</w:t>
            </w:r>
          </w:p>
        </w:tc>
        <w:tc>
          <w:tcPr>
            <w:tcW w:w="20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西部经济管理论坛</w:t>
            </w:r>
          </w:p>
        </w:tc>
        <w:tc>
          <w:tcPr>
            <w:tcW w:w="10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李莉玲</w:t>
            </w:r>
          </w:p>
        </w:tc>
        <w:tc>
          <w:tcPr>
            <w:tcW w:w="4329"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民族地区产业高质量发展测度与分析</w:t>
            </w:r>
          </w:p>
        </w:tc>
        <w:tc>
          <w:tcPr>
            <w:tcW w:w="20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边疆经济与文化</w:t>
            </w:r>
          </w:p>
        </w:tc>
        <w:tc>
          <w:tcPr>
            <w:tcW w:w="10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李莉玲</w:t>
            </w:r>
          </w:p>
        </w:tc>
        <w:tc>
          <w:tcPr>
            <w:tcW w:w="4329"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民族地区产业高质量发展水平测度及驱动因素分析</w:t>
            </w:r>
          </w:p>
        </w:tc>
        <w:tc>
          <w:tcPr>
            <w:tcW w:w="20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科技创业月刊</w:t>
            </w:r>
          </w:p>
        </w:tc>
        <w:tc>
          <w:tcPr>
            <w:tcW w:w="10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李玲</w:t>
            </w:r>
          </w:p>
        </w:tc>
        <w:tc>
          <w:tcPr>
            <w:tcW w:w="4329"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金融生态多样性、技术创新与产业结构升级</w:t>
            </w:r>
          </w:p>
        </w:tc>
        <w:tc>
          <w:tcPr>
            <w:tcW w:w="20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浙江金融</w:t>
            </w:r>
          </w:p>
        </w:tc>
        <w:tc>
          <w:tcPr>
            <w:tcW w:w="10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李玲</w:t>
            </w:r>
          </w:p>
        </w:tc>
        <w:tc>
          <w:tcPr>
            <w:tcW w:w="4329"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金融生态多样性、市场化程度与制造业集聚</w:t>
            </w:r>
          </w:p>
        </w:tc>
        <w:tc>
          <w:tcPr>
            <w:tcW w:w="20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区域金融研究</w:t>
            </w:r>
          </w:p>
        </w:tc>
        <w:tc>
          <w:tcPr>
            <w:tcW w:w="10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夏涛</w:t>
            </w:r>
          </w:p>
        </w:tc>
        <w:tc>
          <w:tcPr>
            <w:tcW w:w="4329"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民族地区社会保障与经济发展耦合协调及其影响因素</w:t>
            </w:r>
          </w:p>
        </w:tc>
        <w:tc>
          <w:tcPr>
            <w:tcW w:w="20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内蒙古科技与经济</w:t>
            </w:r>
          </w:p>
        </w:tc>
        <w:tc>
          <w:tcPr>
            <w:tcW w:w="10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李怡环</w:t>
            </w:r>
          </w:p>
        </w:tc>
        <w:tc>
          <w:tcPr>
            <w:tcW w:w="4329"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湖南省养老保障发展水平研究</w:t>
            </w:r>
          </w:p>
        </w:tc>
        <w:tc>
          <w:tcPr>
            <w:tcW w:w="20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合作经济与科技</w:t>
            </w:r>
          </w:p>
        </w:tc>
        <w:tc>
          <w:tcPr>
            <w:tcW w:w="10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李鑫雯</w:t>
            </w:r>
          </w:p>
        </w:tc>
        <w:tc>
          <w:tcPr>
            <w:tcW w:w="4329"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湘西地区数字经济与生态农业的协调发展测度研究</w:t>
            </w:r>
          </w:p>
        </w:tc>
        <w:tc>
          <w:tcPr>
            <w:tcW w:w="20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中南农业科技</w:t>
            </w:r>
          </w:p>
        </w:tc>
        <w:tc>
          <w:tcPr>
            <w:tcW w:w="10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李鑫雯</w:t>
            </w:r>
          </w:p>
        </w:tc>
        <w:tc>
          <w:tcPr>
            <w:tcW w:w="4329"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数字赋能生态农业的耦合协调分析-以长沙市为例</w:t>
            </w:r>
          </w:p>
        </w:tc>
        <w:tc>
          <w:tcPr>
            <w:tcW w:w="201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农业与技术</w:t>
            </w:r>
          </w:p>
        </w:tc>
        <w:tc>
          <w:tcPr>
            <w:tcW w:w="10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2023.10</w:t>
            </w:r>
          </w:p>
        </w:tc>
      </w:tr>
    </w:tbl>
    <w:p>
      <w:pPr>
        <w:snapToGrid w:val="0"/>
        <w:spacing w:line="360" w:lineRule="auto"/>
        <w:ind w:firstLine="588" w:firstLineChars="200"/>
        <w:rPr>
          <w:rFonts w:hint="eastAsia" w:ascii="仿宋" w:hAnsi="仿宋" w:eastAsia="仿宋"/>
          <w:spacing w:val="-7"/>
          <w:w w:val="110"/>
          <w:sz w:val="28"/>
          <w:szCs w:val="28"/>
        </w:rPr>
      </w:pPr>
    </w:p>
    <w:p>
      <w:pPr>
        <w:snapToGrid w:val="0"/>
        <w:spacing w:line="360" w:lineRule="auto"/>
        <w:ind w:firstLine="588" w:firstLineChars="200"/>
        <w:rPr>
          <w:rFonts w:hint="eastAsia" w:ascii="仿宋" w:hAnsi="仿宋" w:eastAsia="仿宋"/>
          <w:spacing w:val="-7"/>
          <w:w w:val="110"/>
          <w:sz w:val="28"/>
          <w:szCs w:val="28"/>
        </w:rPr>
      </w:pPr>
      <w:r>
        <w:rPr>
          <w:rFonts w:hint="eastAsia" w:ascii="仿宋" w:hAnsi="仿宋" w:eastAsia="仿宋"/>
          <w:spacing w:val="-7"/>
          <w:w w:val="110"/>
          <w:sz w:val="28"/>
          <w:szCs w:val="28"/>
          <w:lang w:val="en-US" w:eastAsia="zh-CN"/>
        </w:rPr>
        <w:t>学位点</w:t>
      </w:r>
      <w:r>
        <w:rPr>
          <w:rFonts w:hint="eastAsia" w:ascii="仿宋" w:hAnsi="仿宋" w:eastAsia="仿宋"/>
          <w:spacing w:val="-7"/>
          <w:w w:val="110"/>
          <w:sz w:val="28"/>
          <w:szCs w:val="28"/>
        </w:rPr>
        <w:t>积极组织</w:t>
      </w:r>
      <w:r>
        <w:rPr>
          <w:rFonts w:hint="eastAsia" w:ascii="仿宋" w:hAnsi="仿宋" w:eastAsia="仿宋"/>
          <w:spacing w:val="-7"/>
          <w:w w:val="110"/>
          <w:sz w:val="28"/>
          <w:szCs w:val="28"/>
          <w:lang w:val="en-US" w:eastAsia="zh-CN"/>
        </w:rPr>
        <w:t>研究生教师</w:t>
      </w:r>
      <w:r>
        <w:rPr>
          <w:rFonts w:hint="eastAsia" w:ascii="仿宋" w:hAnsi="仿宋" w:eastAsia="仿宋"/>
          <w:spacing w:val="-7"/>
          <w:w w:val="110"/>
          <w:sz w:val="28"/>
          <w:szCs w:val="28"/>
        </w:rPr>
        <w:t>申报学位与研究生教学改革研究项目，</w:t>
      </w:r>
      <w:r>
        <w:rPr>
          <w:rFonts w:hint="eastAsia" w:ascii="仿宋" w:hAnsi="仿宋" w:eastAsia="仿宋"/>
          <w:color w:val="auto"/>
          <w:spacing w:val="-7"/>
          <w:w w:val="110"/>
          <w:sz w:val="28"/>
          <w:szCs w:val="28"/>
          <w:lang w:val="en-US" w:eastAsia="zh-CN"/>
        </w:rPr>
        <w:t>其中获湖南省研究生教改课题1项、湖南省研究生优秀教学案例2项，湖南省优秀教学案例1项、吉首大学优秀教学案例1项；与中山大学管理学院联合申报的教学成果奖获国家级教学成果奖二等奖；</w:t>
      </w:r>
      <w:r>
        <w:rPr>
          <w:rFonts w:hint="eastAsia" w:ascii="仿宋" w:hAnsi="仿宋" w:eastAsia="仿宋"/>
          <w:spacing w:val="-7"/>
          <w:w w:val="110"/>
          <w:sz w:val="28"/>
          <w:szCs w:val="28"/>
        </w:rPr>
        <w:t>经学校学术委员会评审，学位点“村镇银行发展与治理创新研究生培养创新基地”顺利通过年度检查。</w:t>
      </w:r>
    </w:p>
    <w:p>
      <w:pPr>
        <w:snapToGrid w:val="0"/>
        <w:spacing w:line="360" w:lineRule="auto"/>
        <w:ind w:firstLine="588" w:firstLineChars="200"/>
        <w:rPr>
          <w:rFonts w:hint="eastAsia" w:ascii="仿宋" w:hAnsi="仿宋" w:eastAsia="仿宋"/>
          <w:spacing w:val="-7"/>
          <w:w w:val="110"/>
          <w:sz w:val="28"/>
          <w:szCs w:val="28"/>
          <w:lang w:eastAsia="zh-CN"/>
        </w:rPr>
      </w:pPr>
      <w:r>
        <w:rPr>
          <w:rFonts w:hint="eastAsia" w:ascii="仿宋" w:hAnsi="仿宋" w:eastAsia="仿宋"/>
          <w:spacing w:val="-7"/>
          <w:w w:val="110"/>
          <w:sz w:val="28"/>
          <w:szCs w:val="28"/>
          <w:lang w:val="en-US" w:eastAsia="zh-CN"/>
        </w:rPr>
        <w:t>学位点</w:t>
      </w:r>
      <w:r>
        <w:rPr>
          <w:rFonts w:hint="eastAsia" w:ascii="仿宋" w:hAnsi="仿宋" w:eastAsia="仿宋"/>
          <w:spacing w:val="-7"/>
          <w:w w:val="110"/>
          <w:sz w:val="28"/>
          <w:szCs w:val="28"/>
        </w:rPr>
        <w:t>冷志明教授为第一通讯作者的研究论文《A Multifaceted Poverty-Reduction Program Has Economic and Behavioral Consequences》在国际顶级期刊PNAS（美国国家科学院院刊）上发表</w:t>
      </w:r>
      <w:r>
        <w:rPr>
          <w:rFonts w:hint="eastAsia" w:ascii="仿宋" w:hAnsi="仿宋" w:eastAsia="仿宋"/>
          <w:spacing w:val="-7"/>
          <w:w w:val="110"/>
          <w:sz w:val="28"/>
          <w:szCs w:val="28"/>
          <w:lang w:eastAsia="zh-CN"/>
        </w:rPr>
        <w:t>。教师团队主编的第五本连片特困区蓝皮书《中国连片特困区发展报告》（2020—2021）中收录的研究报告《十年巨变：连片特困区脱贫攻坚回顾与乡村振兴展望》获评全国第十三届“优秀皮书报告奖”二等奖。</w:t>
      </w:r>
    </w:p>
    <w:p>
      <w:pPr>
        <w:snapToGrid w:val="0"/>
        <w:spacing w:line="360" w:lineRule="auto"/>
        <w:ind w:firstLine="588" w:firstLineChars="200"/>
        <w:rPr>
          <w:rFonts w:hint="eastAsia" w:ascii="仿宋" w:hAnsi="仿宋" w:eastAsia="仿宋" w:cs="Times New Roman"/>
          <w:spacing w:val="-7"/>
          <w:w w:val="110"/>
          <w:sz w:val="28"/>
          <w:szCs w:val="28"/>
          <w:lang w:eastAsia="zh-CN"/>
        </w:rPr>
      </w:pPr>
      <w:r>
        <w:rPr>
          <w:rFonts w:hint="eastAsia" w:ascii="仿宋" w:hAnsi="仿宋" w:eastAsia="仿宋" w:cs="Times New Roman"/>
          <w:spacing w:val="-7"/>
          <w:w w:val="110"/>
          <w:sz w:val="28"/>
          <w:szCs w:val="28"/>
          <w:lang w:val="en-US" w:eastAsia="zh-CN"/>
        </w:rPr>
        <w:t>本年度，学位点教师积极参与了学院主办或承办的各级学术会议，提升教师团队科学研究水平。其中包含</w:t>
      </w:r>
      <w:r>
        <w:rPr>
          <w:rFonts w:hint="eastAsia" w:ascii="仿宋" w:hAnsi="仿宋" w:eastAsia="仿宋" w:cs="Times New Roman"/>
          <w:spacing w:val="-7"/>
          <w:w w:val="110"/>
          <w:sz w:val="28"/>
          <w:szCs w:val="28"/>
          <w:lang w:eastAsia="zh-CN"/>
        </w:rPr>
        <w:t>学院与中国扶贫研究院、中国乡村振兴与发展研究中心、北京师范大学经济与资源管理研究院联合主办</w:t>
      </w:r>
      <w:r>
        <w:rPr>
          <w:rFonts w:hint="eastAsia" w:ascii="仿宋" w:hAnsi="仿宋" w:eastAsia="仿宋" w:cs="Times New Roman"/>
          <w:spacing w:val="-7"/>
          <w:w w:val="110"/>
          <w:sz w:val="28"/>
          <w:szCs w:val="28"/>
          <w:lang w:val="en-US" w:eastAsia="zh-CN"/>
        </w:rPr>
        <w:t>的</w:t>
      </w:r>
      <w:r>
        <w:rPr>
          <w:rFonts w:hint="eastAsia" w:ascii="仿宋" w:hAnsi="仿宋" w:eastAsia="仿宋" w:cs="Times New Roman"/>
          <w:spacing w:val="-7"/>
          <w:w w:val="110"/>
          <w:sz w:val="28"/>
          <w:szCs w:val="28"/>
          <w:lang w:eastAsia="zh-CN"/>
        </w:rPr>
        <w:t>“乡村振兴与绿色发展专题研讨暨智库建设经验交流会”</w:t>
      </w:r>
      <w:r>
        <w:rPr>
          <w:rFonts w:hint="eastAsia" w:ascii="仿宋" w:hAnsi="仿宋" w:eastAsia="仿宋" w:cs="Times New Roman"/>
          <w:spacing w:val="-7"/>
          <w:w w:val="110"/>
          <w:sz w:val="28"/>
          <w:szCs w:val="28"/>
          <w:lang w:val="en-US" w:eastAsia="zh-CN"/>
        </w:rPr>
        <w:t>、</w:t>
      </w:r>
      <w:r>
        <w:rPr>
          <w:rFonts w:hint="eastAsia" w:ascii="仿宋" w:hAnsi="仿宋" w:eastAsia="仿宋" w:cs="Times New Roman"/>
          <w:spacing w:val="-7"/>
          <w:w w:val="110"/>
          <w:sz w:val="28"/>
          <w:szCs w:val="28"/>
          <w:lang w:eastAsia="zh-CN"/>
        </w:rPr>
        <w:t>学院与中国自然资源学会土地资源研究专业委员会、湖南师范大学主办等多家单位联合承办</w:t>
      </w:r>
      <w:r>
        <w:rPr>
          <w:rFonts w:hint="eastAsia" w:ascii="仿宋" w:hAnsi="仿宋" w:eastAsia="仿宋" w:cs="Times New Roman"/>
          <w:spacing w:val="-7"/>
          <w:w w:val="110"/>
          <w:sz w:val="28"/>
          <w:szCs w:val="28"/>
          <w:lang w:val="en-US" w:eastAsia="zh-CN"/>
        </w:rPr>
        <w:t>的</w:t>
      </w:r>
      <w:r>
        <w:rPr>
          <w:rFonts w:hint="eastAsia" w:ascii="仿宋" w:hAnsi="仿宋" w:eastAsia="仿宋" w:cs="Times New Roman"/>
          <w:spacing w:val="-7"/>
          <w:w w:val="110"/>
          <w:sz w:val="28"/>
          <w:szCs w:val="28"/>
          <w:lang w:eastAsia="zh-CN"/>
        </w:rPr>
        <w:t>“新时代三农问题与乡村振兴”专题论坛；学院与中国会计学会、全国会计专业学位研究生教育指导委员会联合举办</w:t>
      </w:r>
      <w:r>
        <w:rPr>
          <w:rFonts w:hint="eastAsia" w:ascii="仿宋" w:hAnsi="仿宋" w:eastAsia="仿宋" w:cs="Times New Roman"/>
          <w:spacing w:val="-7"/>
          <w:w w:val="110"/>
          <w:sz w:val="28"/>
          <w:szCs w:val="28"/>
          <w:lang w:val="en-US" w:eastAsia="zh-CN"/>
        </w:rPr>
        <w:t>的</w:t>
      </w:r>
      <w:r>
        <w:rPr>
          <w:rFonts w:hint="eastAsia" w:ascii="仿宋" w:hAnsi="仿宋" w:eastAsia="仿宋" w:cs="Times New Roman"/>
          <w:spacing w:val="-7"/>
          <w:w w:val="110"/>
          <w:sz w:val="28"/>
          <w:szCs w:val="28"/>
          <w:lang w:eastAsia="zh-CN"/>
        </w:rPr>
        <w:t>“谭劲松教授会计名家公益大讲堂”活动。</w:t>
      </w:r>
      <w:r>
        <w:rPr>
          <w:rFonts w:hint="eastAsia" w:ascii="仿宋" w:hAnsi="仿宋" w:eastAsia="仿宋" w:cs="Times New Roman"/>
          <w:spacing w:val="-7"/>
          <w:w w:val="110"/>
          <w:sz w:val="28"/>
          <w:szCs w:val="28"/>
          <w:lang w:val="en-US" w:eastAsia="zh-CN"/>
        </w:rPr>
        <w:t>并</w:t>
      </w:r>
      <w:r>
        <w:rPr>
          <w:rFonts w:hint="eastAsia" w:ascii="仿宋" w:hAnsi="仿宋" w:eastAsia="仿宋" w:cs="Times New Roman"/>
          <w:spacing w:val="-7"/>
          <w:w w:val="110"/>
          <w:sz w:val="28"/>
          <w:szCs w:val="28"/>
          <w:lang w:eastAsia="zh-CN"/>
        </w:rPr>
        <w:t>邀请Jeff Jia、谭劲松、付春光、李晖等国内外知名专家和杨少良等企业家以及周扬、廖凯诚、刘胜、刘伟等优秀校友来学院讲学。</w:t>
      </w:r>
    </w:p>
    <w:p>
      <w:pPr>
        <w:ind w:firstLine="618" w:firstLineChars="200"/>
        <w:rPr>
          <w:rFonts w:hint="eastAsia" w:ascii="仿宋" w:hAnsi="仿宋" w:eastAsia="仿宋" w:cs="Times New Roman"/>
          <w:b/>
          <w:bCs/>
          <w:w w:val="110"/>
          <w:kern w:val="2"/>
          <w:sz w:val="28"/>
          <w:szCs w:val="28"/>
          <w:lang w:val="en-US" w:eastAsia="zh-CN" w:bidi="ar-SA"/>
        </w:rPr>
      </w:pPr>
      <w:bookmarkStart w:id="23" w:name="_Toc92457822"/>
      <w:r>
        <w:rPr>
          <w:rFonts w:hint="eastAsia" w:ascii="仿宋" w:hAnsi="仿宋" w:eastAsia="仿宋" w:cs="Times New Roman"/>
          <w:b/>
          <w:bCs/>
          <w:w w:val="110"/>
          <w:kern w:val="2"/>
          <w:sz w:val="28"/>
          <w:szCs w:val="28"/>
          <w:lang w:val="en-US" w:eastAsia="zh-CN" w:bidi="ar-SA"/>
        </w:rPr>
        <w:t>4. 传承创新优秀学科文化情况</w:t>
      </w:r>
      <w:bookmarkEnd w:id="23"/>
    </w:p>
    <w:p>
      <w:pPr>
        <w:snapToGrid w:val="0"/>
        <w:spacing w:line="360" w:lineRule="auto"/>
        <w:ind w:firstLine="588" w:firstLineChars="200"/>
        <w:rPr>
          <w:rFonts w:hint="eastAsia" w:ascii="仿宋" w:hAnsi="仿宋" w:eastAsia="仿宋" w:cs="Times New Roman"/>
          <w:spacing w:val="-7"/>
          <w:w w:val="110"/>
          <w:sz w:val="28"/>
          <w:szCs w:val="28"/>
          <w:lang w:val="en-US" w:eastAsia="zh-CN"/>
        </w:rPr>
      </w:pPr>
      <w:bookmarkStart w:id="24" w:name="_Toc92457823"/>
      <w:r>
        <w:rPr>
          <w:rFonts w:hint="eastAsia" w:ascii="仿宋" w:hAnsi="仿宋" w:eastAsia="仿宋" w:cs="Times New Roman"/>
          <w:spacing w:val="-7"/>
          <w:w w:val="110"/>
          <w:sz w:val="28"/>
          <w:szCs w:val="28"/>
          <w:lang w:val="en-US" w:eastAsia="zh-CN"/>
        </w:rPr>
        <w:t>一是紧密衔接优秀校友，弘扬优秀传统，加强精神塑造。本年度，学院邀请了优秀校友、中国共产党历史展览馆“金牌讲解员”江扬子返校宣讲党的二十大精神；邀请了周扬、廖凯诚、刘胜、刘伟等优秀校友来学院讲学并对学院学科建设和科研工作进行指导；成功举行2023年度校友大会，组建了深圳校友会，参加了西安校友会交流活动，并组织了“与校友面对面”座谈、“商学院高质量发展校友座谈会”“就业与职业发展”论坛暨学院校友首次线下联谊活动等多场次学科优秀传统文化传承交流会。</w:t>
      </w:r>
    </w:p>
    <w:p>
      <w:pPr>
        <w:snapToGrid w:val="0"/>
        <w:spacing w:line="360" w:lineRule="auto"/>
        <w:ind w:firstLine="588" w:firstLineChars="200"/>
        <w:rPr>
          <w:rFonts w:hint="eastAsia" w:ascii="仿宋" w:hAnsi="仿宋" w:eastAsia="仿宋" w:cs="Times New Roman"/>
          <w:spacing w:val="-7"/>
          <w:w w:val="110"/>
          <w:sz w:val="28"/>
          <w:szCs w:val="28"/>
          <w:lang w:val="en-US" w:eastAsia="zh-CN"/>
        </w:rPr>
      </w:pPr>
      <w:r>
        <w:rPr>
          <w:rFonts w:hint="eastAsia" w:ascii="仿宋" w:hAnsi="仿宋" w:eastAsia="仿宋" w:cs="Times New Roman"/>
          <w:spacing w:val="-7"/>
          <w:w w:val="110"/>
          <w:sz w:val="28"/>
          <w:szCs w:val="28"/>
          <w:lang w:val="en-US" w:eastAsia="zh-CN"/>
        </w:rPr>
        <w:t>二是坚持以人为本，着力构建尊重、关心和支持教师发展、成长的文化模式，旨在促进教师全面发展，使之具有共同的理想信念、道德素质与科学文化素养，更好地传播优秀学科文化。本年度共组织召开了六批次教师座谈会，学院领导与每一位教职工面对面交流，为每一位老师量身定制教师个人成长规划。</w:t>
      </w:r>
    </w:p>
    <w:p>
      <w:pPr>
        <w:snapToGrid w:val="0"/>
        <w:spacing w:line="360" w:lineRule="auto"/>
        <w:ind w:firstLine="588" w:firstLineChars="200"/>
        <w:rPr>
          <w:rFonts w:hint="eastAsia" w:ascii="仿宋" w:hAnsi="仿宋" w:eastAsia="仿宋" w:cs="Times New Roman"/>
          <w:spacing w:val="-7"/>
          <w:w w:val="110"/>
          <w:sz w:val="28"/>
          <w:szCs w:val="28"/>
          <w:lang w:val="en-US" w:eastAsia="zh-CN"/>
        </w:rPr>
      </w:pPr>
      <w:r>
        <w:rPr>
          <w:rFonts w:hint="eastAsia" w:ascii="仿宋" w:hAnsi="仿宋" w:eastAsia="仿宋" w:cs="Times New Roman"/>
          <w:spacing w:val="-7"/>
          <w:w w:val="110"/>
          <w:sz w:val="28"/>
          <w:szCs w:val="28"/>
          <w:lang w:val="en-US" w:eastAsia="zh-CN"/>
        </w:rPr>
        <w:t>三是夯实载体手段，巩固阵地建设，不断提升校园环境的文化含量与品位。本年度，共举办了演讲比赛、专业竞赛、研究生英语翻译大赛、研究生辩论赛、简历制作大赛、文明校园建设等系列活动若干场次，帮助学生健康成长成才。</w:t>
      </w:r>
    </w:p>
    <w:p>
      <w:pPr>
        <w:snapToGrid w:val="0"/>
        <w:spacing w:line="360" w:lineRule="auto"/>
        <w:ind w:firstLine="588" w:firstLineChars="200"/>
        <w:rPr>
          <w:rFonts w:hint="eastAsia" w:ascii="仿宋" w:hAnsi="仿宋" w:eastAsia="仿宋" w:cs="Times New Roman"/>
          <w:spacing w:val="-7"/>
          <w:w w:val="110"/>
          <w:sz w:val="28"/>
          <w:szCs w:val="28"/>
          <w:lang w:val="en-US" w:eastAsia="zh-CN"/>
        </w:rPr>
      </w:pPr>
      <w:r>
        <w:rPr>
          <w:rFonts w:hint="eastAsia" w:ascii="仿宋" w:hAnsi="仿宋" w:eastAsia="仿宋" w:cs="Times New Roman"/>
          <w:spacing w:val="-7"/>
          <w:w w:val="110"/>
          <w:sz w:val="28"/>
          <w:szCs w:val="28"/>
          <w:lang w:val="en-US" w:eastAsia="zh-CN"/>
        </w:rPr>
        <w:t>四是多渠道集聚社会文化艺术力量，使大学文化内涵在深度融入国家文化繁荣发展的大环境中，不断得以传承、深化、丰富和发展。本年度，学院院团委荣获了湖南省“五四红旗团委”光荣称号；学位点团队高质量完成了与中国证券业协会、湖南省证券业协会签订共建投资者教育基地及助学协议，投教基地已建成并投入使用，且与湖南省证券业协会联合举办了2023证券行业专场招聘会暨校企合作洽谈会。</w:t>
      </w:r>
      <w:bookmarkStart w:id="25" w:name="_Hlk92130173"/>
    </w:p>
    <w:bookmarkEnd w:id="25"/>
    <w:p>
      <w:pPr>
        <w:pStyle w:val="4"/>
        <w:snapToGrid w:val="0"/>
        <w:spacing w:before="0" w:after="0" w:line="360" w:lineRule="auto"/>
        <w:ind w:firstLine="618" w:firstLineChars="200"/>
        <w:rPr>
          <w:rFonts w:ascii="仿宋" w:hAnsi="仿宋" w:eastAsia="仿宋"/>
          <w:w w:val="110"/>
          <w:sz w:val="28"/>
          <w:szCs w:val="28"/>
        </w:rPr>
      </w:pPr>
      <w:r>
        <w:rPr>
          <w:rFonts w:ascii="仿宋" w:hAnsi="仿宋" w:eastAsia="仿宋"/>
          <w:w w:val="110"/>
          <w:sz w:val="28"/>
          <w:szCs w:val="28"/>
        </w:rPr>
        <w:t>5.</w:t>
      </w:r>
      <w:r>
        <w:rPr>
          <w:rFonts w:hint="eastAsia" w:ascii="仿宋" w:hAnsi="仿宋" w:eastAsia="仿宋"/>
          <w:w w:val="110"/>
          <w:sz w:val="28"/>
          <w:szCs w:val="28"/>
        </w:rPr>
        <w:t>国际交流合作等的改革创新情况</w:t>
      </w:r>
      <w:bookmarkEnd w:id="24"/>
    </w:p>
    <w:p>
      <w:pPr>
        <w:snapToGrid w:val="0"/>
        <w:spacing w:line="360" w:lineRule="auto"/>
        <w:ind w:firstLine="435"/>
        <w:rPr>
          <w:rFonts w:hint="eastAsia" w:ascii="仿宋" w:hAnsi="仿宋" w:eastAsia="仿宋"/>
          <w:spacing w:val="-7"/>
          <w:w w:val="110"/>
          <w:sz w:val="28"/>
          <w:szCs w:val="28"/>
        </w:rPr>
      </w:pPr>
      <w:r>
        <w:rPr>
          <w:rFonts w:hint="eastAsia" w:ascii="仿宋" w:hAnsi="仿宋" w:eastAsia="仿宋"/>
          <w:spacing w:val="-7"/>
          <w:w w:val="110"/>
          <w:sz w:val="28"/>
          <w:szCs w:val="28"/>
        </w:rPr>
        <w:t>英国约克大学（世界排名第150名）管理学院供应链管理首席教授、欧洲运营管理学会执委会执行委员、3本国际重要期刊副主编Jeff Jia教授为学院部分教师、研究生作主题为《The impact of governmental COVID-19 measures on manufacturersstock arketvaluations: The role oflabor intensity and operational slack》的学术讲座；</w:t>
      </w:r>
    </w:p>
    <w:p>
      <w:pPr>
        <w:snapToGrid w:val="0"/>
        <w:spacing w:line="360" w:lineRule="auto"/>
        <w:ind w:firstLine="435"/>
        <w:rPr>
          <w:rFonts w:hint="eastAsia" w:ascii="仿宋" w:hAnsi="仿宋" w:eastAsia="仿宋"/>
          <w:spacing w:val="-7"/>
          <w:w w:val="110"/>
          <w:sz w:val="28"/>
          <w:szCs w:val="28"/>
        </w:rPr>
      </w:pPr>
      <w:r>
        <w:rPr>
          <w:rFonts w:hint="eastAsia" w:ascii="仿宋" w:hAnsi="仿宋" w:eastAsia="仿宋"/>
          <w:spacing w:val="-7"/>
          <w:w w:val="110"/>
          <w:sz w:val="28"/>
          <w:szCs w:val="28"/>
          <w:lang w:val="en-US" w:eastAsia="zh-CN"/>
        </w:rPr>
        <w:t>学位点</w:t>
      </w:r>
      <w:r>
        <w:rPr>
          <w:rFonts w:hint="eastAsia" w:ascii="仿宋" w:hAnsi="仿宋" w:eastAsia="仿宋"/>
          <w:spacing w:val="-7"/>
          <w:w w:val="110"/>
          <w:sz w:val="28"/>
          <w:szCs w:val="28"/>
        </w:rPr>
        <w:t>与日本AGI（亚洲成长研究所）联合举办Joint Online Seminar on Sustainable Development and Rural Revitalization in Asia: China and Ja pan Colla boration（亚洲可持续发展和乡村振兴中日联合在线研讨会），来自日本、美国和国内等多家高校和研究机构的学者和研究生参加研讨会。</w:t>
      </w:r>
    </w:p>
    <w:p>
      <w:pPr>
        <w:snapToGrid w:val="0"/>
        <w:spacing w:line="360" w:lineRule="auto"/>
        <w:ind w:firstLine="435"/>
        <w:rPr>
          <w:rFonts w:hint="eastAsia" w:ascii="仿宋" w:hAnsi="仿宋" w:eastAsia="仿宋"/>
          <w:spacing w:val="-7"/>
          <w:w w:val="110"/>
          <w:sz w:val="28"/>
          <w:szCs w:val="28"/>
        </w:rPr>
      </w:pPr>
      <w:r>
        <w:rPr>
          <w:rFonts w:hint="eastAsia" w:ascii="仿宋" w:hAnsi="仿宋" w:eastAsia="仿宋"/>
          <w:spacing w:val="-7"/>
          <w:w w:val="110"/>
          <w:sz w:val="28"/>
          <w:szCs w:val="28"/>
          <w:lang w:val="en-US" w:eastAsia="zh-CN"/>
        </w:rPr>
        <w:t>学位点</w:t>
      </w:r>
      <w:r>
        <w:rPr>
          <w:rFonts w:hint="eastAsia" w:ascii="仿宋" w:hAnsi="仿宋" w:eastAsia="仿宋"/>
          <w:spacing w:val="-7"/>
          <w:w w:val="110"/>
          <w:sz w:val="28"/>
          <w:szCs w:val="28"/>
        </w:rPr>
        <w:t>殷强、孙爱淑教师受国家留学基金委公派留学项目资助分别赴日本亚洲成长研究所和日本九州大学从事博士后研究。</w:t>
      </w:r>
      <w:bookmarkStart w:id="26" w:name="_Toc92457824"/>
      <w:bookmarkStart w:id="27" w:name="_Hlk92203522"/>
    </w:p>
    <w:p>
      <w:pPr>
        <w:pStyle w:val="3"/>
        <w:snapToGrid w:val="0"/>
        <w:spacing w:before="0" w:after="0" w:line="360" w:lineRule="auto"/>
        <w:rPr>
          <w:rFonts w:hint="eastAsia" w:ascii="黑体" w:hAnsi="黑体" w:eastAsia="黑体"/>
          <w:b w:val="0"/>
          <w:bCs w:val="0"/>
        </w:rPr>
      </w:pPr>
      <w:r>
        <w:rPr>
          <w:rFonts w:hint="eastAsia" w:ascii="黑体" w:hAnsi="黑体" w:eastAsia="黑体"/>
          <w:b w:val="0"/>
          <w:bCs w:val="0"/>
        </w:rPr>
        <w:t>五、教育质量评估与分析</w:t>
      </w:r>
      <w:bookmarkEnd w:id="26"/>
      <w:bookmarkEnd w:id="27"/>
      <w:bookmarkStart w:id="28" w:name="_Toc92457825"/>
    </w:p>
    <w:p>
      <w:pPr>
        <w:snapToGrid w:val="0"/>
        <w:spacing w:line="360" w:lineRule="auto"/>
        <w:ind w:firstLine="435"/>
        <w:rPr>
          <w:rFonts w:hint="eastAsia" w:ascii="仿宋" w:hAnsi="仿宋" w:eastAsia="仿宋"/>
          <w:b/>
          <w:bCs/>
          <w:w w:val="110"/>
          <w:sz w:val="28"/>
          <w:szCs w:val="28"/>
        </w:rPr>
      </w:pPr>
      <w:r>
        <w:rPr>
          <w:rFonts w:hint="eastAsia" w:ascii="仿宋" w:hAnsi="仿宋" w:eastAsia="仿宋"/>
          <w:b/>
          <w:bCs/>
          <w:w w:val="110"/>
          <w:sz w:val="28"/>
          <w:szCs w:val="28"/>
        </w:rPr>
        <w:t>1.学位授权点自我评估进展及问题分析</w:t>
      </w:r>
      <w:bookmarkEnd w:id="28"/>
      <w:bookmarkStart w:id="29" w:name="_Toc92457826"/>
    </w:p>
    <w:p>
      <w:pPr>
        <w:snapToGrid w:val="0"/>
        <w:spacing w:line="360" w:lineRule="auto"/>
        <w:ind w:firstLine="435"/>
        <w:rPr>
          <w:rFonts w:hint="eastAsia" w:ascii="仿宋" w:hAnsi="仿宋" w:eastAsia="仿宋" w:cs="宋体"/>
          <w:b w:val="0"/>
          <w:bCs w:val="0"/>
          <w:kern w:val="2"/>
          <w:sz w:val="28"/>
          <w:szCs w:val="28"/>
          <w:lang w:val="en-US" w:eastAsia="zh-CN" w:bidi="ar-SA"/>
        </w:rPr>
      </w:pPr>
      <w:r>
        <w:rPr>
          <w:rFonts w:hint="eastAsia" w:ascii="仿宋" w:hAnsi="仿宋" w:eastAsia="仿宋" w:cs="宋体"/>
          <w:b w:val="0"/>
          <w:bCs w:val="0"/>
          <w:kern w:val="2"/>
          <w:sz w:val="28"/>
          <w:szCs w:val="28"/>
          <w:lang w:val="en-US" w:eastAsia="zh-CN" w:bidi="ar-SA"/>
        </w:rPr>
        <w:t>（1）引进和稳定高水平学科带头人、中青年学术骨干比较困难。学校位于湘鄂渝黔四省交汇处的老少边山穷地区，区位劣势和经济弱势使得引进和稳定高水平人才较为困难。</w:t>
      </w:r>
      <w:bookmarkStart w:id="30" w:name="_Hlk92374451"/>
    </w:p>
    <w:p>
      <w:pPr>
        <w:snapToGrid w:val="0"/>
        <w:spacing w:line="360" w:lineRule="auto"/>
        <w:ind w:firstLine="435"/>
        <w:rPr>
          <w:rFonts w:hint="eastAsia" w:ascii="仿宋" w:hAnsi="仿宋" w:eastAsia="仿宋" w:cs="宋体"/>
          <w:b w:val="0"/>
          <w:bCs w:val="0"/>
          <w:kern w:val="2"/>
          <w:sz w:val="28"/>
          <w:szCs w:val="28"/>
          <w:lang w:val="en-US" w:eastAsia="zh-CN" w:bidi="ar-SA"/>
        </w:rPr>
      </w:pPr>
      <w:r>
        <w:rPr>
          <w:rFonts w:hint="eastAsia" w:ascii="仿宋" w:hAnsi="仿宋" w:eastAsia="仿宋" w:cs="宋体"/>
          <w:b w:val="0"/>
          <w:bCs w:val="0"/>
          <w:kern w:val="2"/>
          <w:sz w:val="28"/>
          <w:szCs w:val="28"/>
          <w:lang w:val="en-US" w:eastAsia="zh-CN" w:bidi="ar-SA"/>
        </w:rPr>
        <w:t>（2）学位点导师的科研创新能力还有待进一步提升。近年来，由于高档次论文的发表难度持续加大，学位点导师和研究生发表高质量、高级别论文的数量有一定的下降，导师团队建设相对滞后于学院发展实际，制约了导师对研究生的指导，教学科研成果有待进一步提升。</w:t>
      </w:r>
      <w:bookmarkEnd w:id="30"/>
    </w:p>
    <w:p>
      <w:pPr>
        <w:snapToGrid w:val="0"/>
        <w:spacing w:line="360" w:lineRule="auto"/>
        <w:ind w:firstLine="435"/>
        <w:rPr>
          <w:rFonts w:hint="eastAsia" w:ascii="仿宋" w:hAnsi="仿宋" w:eastAsia="仿宋" w:cs="宋体"/>
          <w:b w:val="0"/>
          <w:bCs w:val="0"/>
          <w:kern w:val="2"/>
          <w:sz w:val="28"/>
          <w:szCs w:val="28"/>
          <w:lang w:val="en-US" w:eastAsia="zh-CN" w:bidi="ar-SA"/>
        </w:rPr>
      </w:pPr>
      <w:r>
        <w:rPr>
          <w:rFonts w:hint="eastAsia" w:ascii="仿宋" w:hAnsi="仿宋" w:eastAsia="仿宋" w:cs="宋体"/>
          <w:b w:val="0"/>
          <w:bCs w:val="0"/>
          <w:kern w:val="2"/>
          <w:sz w:val="28"/>
          <w:szCs w:val="28"/>
          <w:lang w:val="en-US" w:eastAsia="zh-CN" w:bidi="ar-SA"/>
        </w:rPr>
        <w:t>（3）师生参加高水平国际学术会议相对较少。学校所在地吉首市交通相对闭塞，“走出去”和“请进来”相对不便且成本较大，导致师生参加高水平国际国内学术会议，学科举办各类学术会议的次数都相对较少。</w:t>
      </w:r>
    </w:p>
    <w:p>
      <w:pPr>
        <w:pStyle w:val="4"/>
        <w:snapToGrid w:val="0"/>
        <w:spacing w:before="0" w:after="0" w:line="360" w:lineRule="auto"/>
        <w:ind w:firstLine="560" w:firstLineChars="200"/>
        <w:rPr>
          <w:rFonts w:hint="eastAsia" w:ascii="仿宋" w:hAnsi="仿宋" w:eastAsia="仿宋" w:cs="宋体"/>
          <w:b w:val="0"/>
          <w:bCs w:val="0"/>
          <w:kern w:val="2"/>
          <w:sz w:val="28"/>
          <w:szCs w:val="28"/>
          <w:lang w:val="en-US" w:eastAsia="zh-CN" w:bidi="ar-SA"/>
        </w:rPr>
      </w:pPr>
      <w:r>
        <w:rPr>
          <w:rFonts w:hint="eastAsia" w:ascii="仿宋" w:hAnsi="仿宋" w:eastAsia="仿宋" w:cs="宋体"/>
          <w:b w:val="0"/>
          <w:bCs w:val="0"/>
          <w:kern w:val="2"/>
          <w:sz w:val="28"/>
          <w:szCs w:val="28"/>
          <w:lang w:val="en-US" w:eastAsia="zh-CN" w:bidi="ar-SA"/>
        </w:rPr>
        <w:t>（4）学校外文图书资料相对不足，缺乏商学数据库。尽管本学科现有专业相关图书资料5 万余册，专业相关期刊70 余种，但外文图书资料相对不足，外文期刊种类偏少，使得文献资料查询存在一定困难。</w:t>
      </w:r>
    </w:p>
    <w:p>
      <w:pPr>
        <w:pStyle w:val="4"/>
        <w:snapToGrid w:val="0"/>
        <w:spacing w:before="0" w:after="0" w:line="360" w:lineRule="auto"/>
        <w:ind w:firstLine="618" w:firstLineChars="200"/>
        <w:rPr>
          <w:rFonts w:ascii="仿宋" w:hAnsi="仿宋" w:eastAsia="仿宋" w:cs="宋体"/>
          <w:b w:val="0"/>
          <w:bCs w:val="0"/>
          <w:w w:val="115"/>
          <w:sz w:val="28"/>
          <w:szCs w:val="28"/>
        </w:rPr>
      </w:pPr>
      <w:r>
        <w:rPr>
          <w:rFonts w:hint="eastAsia" w:ascii="仿宋" w:hAnsi="仿宋" w:eastAsia="仿宋"/>
          <w:w w:val="110"/>
          <w:sz w:val="28"/>
          <w:szCs w:val="28"/>
        </w:rPr>
        <w:t>2.学位论文抽检情况及问题分析</w:t>
      </w:r>
      <w:bookmarkEnd w:id="29"/>
    </w:p>
    <w:p>
      <w:pPr>
        <w:snapToGrid w:val="0"/>
        <w:spacing w:line="360" w:lineRule="auto"/>
        <w:ind w:firstLine="590"/>
        <w:rPr>
          <w:rFonts w:ascii="仿宋" w:hAnsi="仿宋" w:eastAsia="仿宋"/>
        </w:rPr>
      </w:pPr>
      <w:r>
        <w:rPr>
          <w:rFonts w:hint="eastAsia" w:ascii="仿宋" w:hAnsi="仿宋" w:eastAsia="仿宋" w:cs="宋体"/>
          <w:sz w:val="28"/>
          <w:szCs w:val="28"/>
        </w:rPr>
        <w:t>学位点学位论文的全程实行“源头控制、过程监督、出口从严”策略，实施“审题—开题—中期检查—校内专家评阅—预答辩—校外盲审—答辩”等环节，对研究生学位论文实行严格的“双盲”</w:t>
      </w:r>
      <w:r>
        <w:rPr>
          <w:rFonts w:hint="eastAsia" w:ascii="仿宋" w:hAnsi="仿宋" w:eastAsia="仿宋" w:cs="宋体"/>
          <w:sz w:val="28"/>
          <w:szCs w:val="28"/>
          <w:lang w:val="en-US" w:eastAsia="zh-CN"/>
        </w:rPr>
        <w:t>评审</w:t>
      </w:r>
      <w:r>
        <w:rPr>
          <w:rFonts w:hint="eastAsia" w:ascii="仿宋" w:hAnsi="仿宋" w:eastAsia="仿宋" w:cs="宋体"/>
          <w:sz w:val="28"/>
          <w:szCs w:val="28"/>
        </w:rPr>
        <w:t>制度，对盲审意见为“不同意答辩”的不予答辩。论文答辩邀请校外相关研究领域专家主持，对答辩</w:t>
      </w:r>
      <w:r>
        <w:rPr>
          <w:rFonts w:hint="eastAsia" w:ascii="仿宋" w:hAnsi="仿宋" w:eastAsia="仿宋" w:cs="宋体"/>
          <w:sz w:val="28"/>
          <w:szCs w:val="28"/>
          <w:lang w:val="en-US" w:eastAsia="zh-CN"/>
        </w:rPr>
        <w:t>过程中问题较大的论文</w:t>
      </w:r>
      <w:r>
        <w:rPr>
          <w:rFonts w:hint="eastAsia" w:ascii="仿宋" w:hAnsi="仿宋" w:eastAsia="仿宋" w:cs="宋体"/>
          <w:sz w:val="28"/>
          <w:szCs w:val="28"/>
        </w:rPr>
        <w:t>严格按照答辩委员会提出的修改意见进行修改</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并实行定稿前集中检查落实修改责任制度</w:t>
      </w:r>
      <w:r>
        <w:rPr>
          <w:rFonts w:hint="eastAsia" w:ascii="仿宋" w:hAnsi="仿宋" w:eastAsia="仿宋" w:cs="宋体"/>
          <w:sz w:val="28"/>
          <w:szCs w:val="28"/>
        </w:rPr>
        <w:t>。由于管理规范、指导严谨，</w:t>
      </w:r>
      <w:r>
        <w:rPr>
          <w:rFonts w:hint="eastAsia" w:ascii="仿宋" w:hAnsi="仿宋" w:eastAsia="仿宋" w:cs="宋体"/>
          <w:sz w:val="28"/>
          <w:szCs w:val="28"/>
          <w:lang w:val="en-US" w:eastAsia="zh-CN"/>
        </w:rPr>
        <w:t>层层</w:t>
      </w:r>
      <w:r>
        <w:rPr>
          <w:rFonts w:hint="eastAsia" w:ascii="仿宋" w:hAnsi="仿宋" w:eastAsia="仿宋" w:cs="宋体"/>
          <w:sz w:val="28"/>
          <w:szCs w:val="28"/>
        </w:rPr>
        <w:t>严把论文质量关，202</w:t>
      </w:r>
      <w:r>
        <w:rPr>
          <w:rFonts w:hint="eastAsia" w:ascii="仿宋" w:hAnsi="仿宋" w:eastAsia="仿宋" w:cs="宋体"/>
          <w:sz w:val="28"/>
          <w:szCs w:val="28"/>
          <w:lang w:val="en-US" w:eastAsia="zh-CN"/>
        </w:rPr>
        <w:t>3</w:t>
      </w:r>
      <w:r>
        <w:rPr>
          <w:rFonts w:hint="eastAsia" w:ascii="仿宋" w:hAnsi="仿宋" w:eastAsia="仿宋" w:cs="宋体"/>
          <w:sz w:val="28"/>
          <w:szCs w:val="28"/>
        </w:rPr>
        <w:t>年学位论文盲评通过率达100%，答辩通过率为100%</w:t>
      </w:r>
      <w:r>
        <w:rPr>
          <w:rFonts w:hint="eastAsia" w:ascii="仿宋" w:hAnsi="仿宋" w:eastAsia="仿宋" w:cs="宋体"/>
          <w:sz w:val="28"/>
          <w:szCs w:val="28"/>
          <w:lang w:eastAsia="zh-CN"/>
        </w:rPr>
        <w:t>，</w:t>
      </w:r>
      <w:r>
        <w:rPr>
          <w:rFonts w:hint="eastAsia" w:ascii="仿宋" w:hAnsi="仿宋" w:eastAsia="仿宋" w:cs="宋体"/>
          <w:sz w:val="28"/>
          <w:szCs w:val="28"/>
        </w:rPr>
        <w:t>省学位办抽检论文</w:t>
      </w:r>
      <w:r>
        <w:rPr>
          <w:rFonts w:hint="eastAsia" w:ascii="仿宋" w:hAnsi="仿宋" w:eastAsia="仿宋" w:cs="宋体"/>
          <w:sz w:val="28"/>
          <w:szCs w:val="28"/>
          <w:lang w:val="en-US" w:eastAsia="zh-CN"/>
        </w:rPr>
        <w:t>全部合格</w:t>
      </w:r>
      <w:r>
        <w:rPr>
          <w:rFonts w:hint="eastAsia" w:ascii="仿宋" w:hAnsi="仿宋" w:eastAsia="仿宋" w:cs="宋体"/>
          <w:sz w:val="28"/>
          <w:szCs w:val="28"/>
        </w:rPr>
        <w:t>。</w:t>
      </w:r>
    </w:p>
    <w:p>
      <w:pPr>
        <w:pStyle w:val="3"/>
        <w:snapToGrid w:val="0"/>
        <w:spacing w:before="0" w:after="0" w:line="360" w:lineRule="auto"/>
        <w:rPr>
          <w:rFonts w:ascii="黑体" w:hAnsi="黑体" w:eastAsia="黑体"/>
          <w:b w:val="0"/>
          <w:bCs w:val="0"/>
          <w:color w:val="auto"/>
        </w:rPr>
      </w:pPr>
      <w:bookmarkStart w:id="31" w:name="_Toc92457827"/>
      <w:r>
        <w:rPr>
          <w:rFonts w:hint="eastAsia" w:ascii="黑体" w:hAnsi="黑体" w:eastAsia="黑体"/>
          <w:b w:val="0"/>
          <w:bCs w:val="0"/>
          <w:color w:val="auto"/>
        </w:rPr>
        <w:t>六、改进措施</w:t>
      </w:r>
      <w:bookmarkEnd w:id="31"/>
    </w:p>
    <w:p>
      <w:pPr>
        <w:snapToGrid w:val="0"/>
        <w:spacing w:line="360" w:lineRule="auto"/>
        <w:ind w:firstLine="588" w:firstLineChars="200"/>
        <w:rPr>
          <w:rFonts w:hint="eastAsia" w:ascii="仿宋" w:hAnsi="仿宋" w:eastAsia="仿宋"/>
          <w:spacing w:val="-7"/>
          <w:w w:val="110"/>
          <w:sz w:val="28"/>
          <w:szCs w:val="28"/>
        </w:rPr>
      </w:pPr>
      <w:r>
        <w:rPr>
          <w:rFonts w:hint="eastAsia" w:ascii="仿宋" w:hAnsi="仿宋" w:eastAsia="仿宋"/>
          <w:spacing w:val="-7"/>
          <w:w w:val="110"/>
          <w:sz w:val="28"/>
          <w:szCs w:val="28"/>
        </w:rPr>
        <w:t>学位点将</w:t>
      </w:r>
      <w:r>
        <w:rPr>
          <w:rFonts w:hint="eastAsia" w:ascii="仿宋" w:hAnsi="仿宋" w:eastAsia="仿宋"/>
          <w:spacing w:val="-7"/>
          <w:w w:val="110"/>
          <w:sz w:val="28"/>
          <w:szCs w:val="28"/>
          <w:lang w:val="en-US" w:eastAsia="zh-CN"/>
        </w:rPr>
        <w:t>继续</w:t>
      </w:r>
      <w:r>
        <w:rPr>
          <w:rFonts w:hint="eastAsia" w:ascii="仿宋" w:hAnsi="仿宋" w:eastAsia="仿宋"/>
          <w:spacing w:val="-7"/>
          <w:w w:val="110"/>
          <w:sz w:val="28"/>
          <w:szCs w:val="28"/>
        </w:rPr>
        <w:t>坚持以党的二十大精神以及习近平总书记考察湖南时重要讲话指示精神为指导，针对学位点存在的主要不足与短板，要以新一轮学校博士点（应用经济学）申报为契机，抢抓“十四五”学科发展、委省共建以及学校获得湖南省双一流高校建设机遇，积极争取各级政府在政策、项目和经费方面的支持，提高研究水平，强化学科特色，不断提高学位点综合实力。</w:t>
      </w:r>
    </w:p>
    <w:p>
      <w:pPr>
        <w:snapToGrid w:val="0"/>
        <w:spacing w:line="360" w:lineRule="auto"/>
        <w:ind w:firstLine="590" w:firstLineChars="200"/>
        <w:rPr>
          <w:rFonts w:hint="eastAsia" w:ascii="仿宋" w:hAnsi="仿宋" w:eastAsia="仿宋"/>
          <w:b/>
          <w:bCs/>
          <w:spacing w:val="-7"/>
          <w:w w:val="110"/>
          <w:sz w:val="28"/>
          <w:szCs w:val="28"/>
        </w:rPr>
      </w:pPr>
      <w:r>
        <w:rPr>
          <w:rFonts w:hint="eastAsia" w:ascii="仿宋" w:hAnsi="仿宋" w:eastAsia="仿宋"/>
          <w:b/>
          <w:bCs/>
          <w:spacing w:val="-7"/>
          <w:w w:val="110"/>
          <w:sz w:val="28"/>
          <w:szCs w:val="28"/>
          <w:lang w:val="en-US" w:eastAsia="zh-CN"/>
        </w:rPr>
        <w:t>1.结合本土特色，继续推进</w:t>
      </w:r>
      <w:r>
        <w:rPr>
          <w:rFonts w:hint="eastAsia" w:ascii="仿宋" w:hAnsi="仿宋" w:eastAsia="仿宋"/>
          <w:b/>
          <w:bCs/>
          <w:spacing w:val="-7"/>
          <w:w w:val="110"/>
          <w:sz w:val="28"/>
          <w:szCs w:val="28"/>
        </w:rPr>
        <w:t>研究生金课建设</w:t>
      </w:r>
    </w:p>
    <w:p>
      <w:pPr>
        <w:snapToGrid w:val="0"/>
        <w:spacing w:line="360" w:lineRule="auto"/>
        <w:ind w:firstLine="588" w:firstLineChars="200"/>
        <w:rPr>
          <w:rFonts w:hint="eastAsia" w:ascii="仿宋" w:hAnsi="仿宋" w:eastAsia="仿宋"/>
          <w:spacing w:val="-7"/>
          <w:w w:val="110"/>
          <w:sz w:val="28"/>
          <w:szCs w:val="28"/>
          <w:lang w:eastAsia="zh-CN"/>
        </w:rPr>
      </w:pPr>
      <w:r>
        <w:rPr>
          <w:rFonts w:hint="eastAsia" w:ascii="仿宋" w:hAnsi="仿宋" w:eastAsia="仿宋"/>
          <w:spacing w:val="-7"/>
          <w:w w:val="110"/>
          <w:sz w:val="28"/>
          <w:szCs w:val="28"/>
          <w:lang w:val="en-US" w:eastAsia="zh-CN"/>
        </w:rPr>
        <w:t>进一步</w:t>
      </w:r>
      <w:r>
        <w:rPr>
          <w:rFonts w:hint="eastAsia" w:ascii="仿宋" w:hAnsi="仿宋" w:eastAsia="仿宋"/>
          <w:spacing w:val="-7"/>
          <w:w w:val="110"/>
          <w:sz w:val="28"/>
          <w:szCs w:val="28"/>
        </w:rPr>
        <w:t>推进研究生课程思政建设项目，实现课程教学与研究生思想政治工作的</w:t>
      </w:r>
      <w:r>
        <w:rPr>
          <w:rFonts w:hint="eastAsia" w:ascii="仿宋" w:hAnsi="仿宋" w:eastAsia="仿宋"/>
          <w:spacing w:val="-7"/>
          <w:w w:val="110"/>
          <w:sz w:val="28"/>
          <w:szCs w:val="28"/>
          <w:lang w:val="en-US" w:eastAsia="zh-CN"/>
        </w:rPr>
        <w:t>深度</w:t>
      </w:r>
      <w:r>
        <w:rPr>
          <w:rFonts w:hint="eastAsia" w:ascii="仿宋" w:hAnsi="仿宋" w:eastAsia="仿宋"/>
          <w:spacing w:val="-7"/>
          <w:w w:val="110"/>
          <w:sz w:val="28"/>
          <w:szCs w:val="28"/>
        </w:rPr>
        <w:t>融合。</w:t>
      </w:r>
      <w:r>
        <w:rPr>
          <w:rFonts w:hint="eastAsia" w:ascii="仿宋" w:hAnsi="仿宋" w:eastAsia="仿宋"/>
          <w:spacing w:val="-7"/>
          <w:w w:val="110"/>
          <w:sz w:val="28"/>
          <w:szCs w:val="28"/>
          <w:lang w:val="en-US" w:eastAsia="zh-CN"/>
        </w:rPr>
        <w:t>同时</w:t>
      </w:r>
      <w:r>
        <w:rPr>
          <w:rFonts w:hint="eastAsia" w:ascii="仿宋" w:hAnsi="仿宋" w:eastAsia="仿宋"/>
          <w:spacing w:val="-7"/>
          <w:w w:val="110"/>
          <w:sz w:val="28"/>
          <w:szCs w:val="28"/>
        </w:rPr>
        <w:t>以培养方案</w:t>
      </w:r>
      <w:r>
        <w:rPr>
          <w:rFonts w:hint="eastAsia" w:ascii="仿宋" w:hAnsi="仿宋" w:eastAsia="仿宋"/>
          <w:spacing w:val="-7"/>
          <w:w w:val="110"/>
          <w:sz w:val="28"/>
          <w:szCs w:val="28"/>
          <w:lang w:val="en-US" w:eastAsia="zh-CN"/>
        </w:rPr>
        <w:t>及学位授予标准</w:t>
      </w:r>
      <w:r>
        <w:rPr>
          <w:rFonts w:hint="eastAsia" w:ascii="仿宋" w:hAnsi="仿宋" w:eastAsia="仿宋"/>
          <w:spacing w:val="-7"/>
          <w:w w:val="110"/>
          <w:sz w:val="28"/>
          <w:szCs w:val="28"/>
        </w:rPr>
        <w:t>优化为基础，持续推进研究生课程设计和课程内容更新。</w:t>
      </w:r>
      <w:r>
        <w:rPr>
          <w:rFonts w:hint="eastAsia" w:ascii="仿宋" w:hAnsi="仿宋" w:eastAsia="仿宋"/>
          <w:spacing w:val="-7"/>
          <w:w w:val="110"/>
          <w:sz w:val="28"/>
          <w:szCs w:val="28"/>
          <w:lang w:val="en-US" w:eastAsia="zh-CN"/>
        </w:rPr>
        <w:t>进一步</w:t>
      </w:r>
      <w:r>
        <w:rPr>
          <w:rFonts w:hint="eastAsia" w:ascii="仿宋" w:hAnsi="仿宋" w:eastAsia="仿宋"/>
          <w:spacing w:val="-7"/>
          <w:w w:val="110"/>
          <w:sz w:val="28"/>
          <w:szCs w:val="28"/>
        </w:rPr>
        <w:t>激发任课教师提升教学质量的积极性，支持和鼓励任课教师积极申报</w:t>
      </w:r>
      <w:r>
        <w:rPr>
          <w:rFonts w:hint="eastAsia" w:ascii="仿宋" w:hAnsi="仿宋" w:eastAsia="仿宋"/>
          <w:spacing w:val="-7"/>
          <w:w w:val="110"/>
          <w:sz w:val="28"/>
          <w:szCs w:val="28"/>
          <w:lang w:val="en-US" w:eastAsia="zh-CN"/>
        </w:rPr>
        <w:t>湖南省</w:t>
      </w:r>
      <w:r>
        <w:rPr>
          <w:rFonts w:hint="eastAsia" w:ascii="仿宋" w:hAnsi="仿宋" w:eastAsia="仿宋"/>
          <w:spacing w:val="-7"/>
          <w:w w:val="110"/>
          <w:sz w:val="28"/>
          <w:szCs w:val="28"/>
        </w:rPr>
        <w:t>研究生</w:t>
      </w:r>
      <w:r>
        <w:rPr>
          <w:rFonts w:hint="eastAsia" w:ascii="仿宋" w:hAnsi="仿宋" w:eastAsia="仿宋"/>
          <w:spacing w:val="-7"/>
          <w:w w:val="110"/>
          <w:sz w:val="28"/>
          <w:szCs w:val="28"/>
          <w:lang w:val="en-US" w:eastAsia="zh-CN"/>
        </w:rPr>
        <w:t>精品</w:t>
      </w:r>
      <w:r>
        <w:rPr>
          <w:rFonts w:hint="eastAsia" w:ascii="仿宋" w:hAnsi="仿宋" w:eastAsia="仿宋"/>
          <w:spacing w:val="-7"/>
          <w:w w:val="110"/>
          <w:sz w:val="28"/>
          <w:szCs w:val="28"/>
        </w:rPr>
        <w:t>课程</w:t>
      </w:r>
      <w:r>
        <w:rPr>
          <w:rFonts w:hint="eastAsia" w:ascii="仿宋" w:hAnsi="仿宋" w:eastAsia="仿宋"/>
          <w:spacing w:val="-7"/>
          <w:w w:val="110"/>
          <w:sz w:val="28"/>
          <w:szCs w:val="28"/>
          <w:lang w:val="en-US" w:eastAsia="zh-CN"/>
        </w:rPr>
        <w:t>及精品教材</w:t>
      </w:r>
      <w:r>
        <w:rPr>
          <w:rFonts w:hint="eastAsia" w:ascii="仿宋" w:hAnsi="仿宋" w:eastAsia="仿宋"/>
          <w:spacing w:val="-7"/>
          <w:w w:val="110"/>
          <w:sz w:val="28"/>
          <w:szCs w:val="28"/>
        </w:rPr>
        <w:t>；鼓励和支持任课教师立足</w:t>
      </w:r>
      <w:r>
        <w:rPr>
          <w:rFonts w:hint="eastAsia" w:ascii="仿宋" w:hAnsi="仿宋" w:eastAsia="仿宋"/>
          <w:spacing w:val="-7"/>
          <w:w w:val="110"/>
          <w:sz w:val="28"/>
          <w:szCs w:val="28"/>
          <w:lang w:val="en-US" w:eastAsia="zh-CN"/>
        </w:rPr>
        <w:t>研究生培养特色结合</w:t>
      </w:r>
      <w:r>
        <w:rPr>
          <w:rFonts w:hint="eastAsia" w:ascii="仿宋" w:hAnsi="仿宋" w:eastAsia="仿宋"/>
          <w:spacing w:val="-7"/>
          <w:w w:val="110"/>
          <w:sz w:val="28"/>
          <w:szCs w:val="28"/>
        </w:rPr>
        <w:t>本土资源案例和研究成果，编写并出版</w:t>
      </w:r>
      <w:r>
        <w:rPr>
          <w:rFonts w:hint="eastAsia" w:ascii="仿宋" w:hAnsi="仿宋" w:eastAsia="仿宋"/>
          <w:spacing w:val="-7"/>
          <w:w w:val="110"/>
          <w:sz w:val="28"/>
          <w:szCs w:val="28"/>
          <w:lang w:val="en-US" w:eastAsia="zh-CN"/>
        </w:rPr>
        <w:t>更多</w:t>
      </w:r>
      <w:r>
        <w:rPr>
          <w:rFonts w:hint="eastAsia" w:ascii="仿宋" w:hAnsi="仿宋" w:eastAsia="仿宋"/>
          <w:spacing w:val="-7"/>
          <w:w w:val="110"/>
          <w:sz w:val="28"/>
          <w:szCs w:val="28"/>
        </w:rPr>
        <w:t>具有本土特色的研究生教材</w:t>
      </w:r>
      <w:r>
        <w:rPr>
          <w:rFonts w:hint="eastAsia" w:ascii="仿宋" w:hAnsi="仿宋" w:eastAsia="仿宋"/>
          <w:spacing w:val="-7"/>
          <w:w w:val="110"/>
          <w:sz w:val="28"/>
          <w:szCs w:val="28"/>
          <w:lang w:eastAsia="zh-CN"/>
        </w:rPr>
        <w:t>，</w:t>
      </w:r>
      <w:r>
        <w:rPr>
          <w:rFonts w:hint="eastAsia" w:ascii="仿宋" w:hAnsi="仿宋" w:eastAsia="仿宋"/>
          <w:spacing w:val="-7"/>
          <w:w w:val="110"/>
          <w:sz w:val="28"/>
          <w:szCs w:val="28"/>
        </w:rPr>
        <w:t>持续推进教学手段“现代化”、教学内容“前沿化”、教学资源“本土化”的研究生课程教学改革</w:t>
      </w:r>
      <w:r>
        <w:rPr>
          <w:rFonts w:hint="eastAsia" w:ascii="仿宋" w:hAnsi="仿宋" w:eastAsia="仿宋"/>
          <w:spacing w:val="-7"/>
          <w:w w:val="110"/>
          <w:sz w:val="28"/>
          <w:szCs w:val="28"/>
          <w:lang w:eastAsia="zh-CN"/>
        </w:rPr>
        <w:t>，</w:t>
      </w:r>
      <w:r>
        <w:rPr>
          <w:rFonts w:hint="eastAsia" w:ascii="仿宋" w:hAnsi="仿宋" w:eastAsia="仿宋"/>
          <w:spacing w:val="-7"/>
          <w:w w:val="110"/>
          <w:sz w:val="28"/>
          <w:szCs w:val="28"/>
        </w:rPr>
        <w:t>强化课程</w:t>
      </w:r>
      <w:r>
        <w:rPr>
          <w:rFonts w:hint="eastAsia" w:ascii="仿宋" w:hAnsi="仿宋" w:eastAsia="仿宋"/>
          <w:spacing w:val="-7"/>
          <w:w w:val="110"/>
          <w:sz w:val="28"/>
          <w:szCs w:val="28"/>
          <w:lang w:val="en-US" w:eastAsia="zh-CN"/>
        </w:rPr>
        <w:t>本土</w:t>
      </w:r>
      <w:r>
        <w:rPr>
          <w:rFonts w:hint="eastAsia" w:ascii="仿宋" w:hAnsi="仿宋" w:eastAsia="仿宋"/>
          <w:spacing w:val="-7"/>
          <w:w w:val="110"/>
          <w:sz w:val="28"/>
          <w:szCs w:val="28"/>
        </w:rPr>
        <w:t>特色</w:t>
      </w:r>
      <w:r>
        <w:rPr>
          <w:rFonts w:hint="eastAsia" w:ascii="仿宋" w:hAnsi="仿宋" w:eastAsia="仿宋"/>
          <w:spacing w:val="-7"/>
          <w:w w:val="110"/>
          <w:sz w:val="28"/>
          <w:szCs w:val="28"/>
          <w:lang w:eastAsia="zh-CN"/>
        </w:rPr>
        <w:t>。</w:t>
      </w:r>
    </w:p>
    <w:p>
      <w:pPr>
        <w:snapToGrid w:val="0"/>
        <w:spacing w:line="360" w:lineRule="auto"/>
        <w:ind w:firstLine="590" w:firstLineChars="200"/>
        <w:rPr>
          <w:rFonts w:hint="eastAsia" w:ascii="仿宋" w:hAnsi="仿宋" w:eastAsia="仿宋"/>
          <w:b/>
          <w:bCs/>
          <w:spacing w:val="-7"/>
          <w:w w:val="110"/>
          <w:sz w:val="28"/>
          <w:szCs w:val="28"/>
          <w:lang w:val="en-US" w:eastAsia="zh-CN"/>
        </w:rPr>
      </w:pPr>
      <w:r>
        <w:rPr>
          <w:rFonts w:hint="eastAsia" w:ascii="仿宋" w:hAnsi="仿宋" w:eastAsia="仿宋"/>
          <w:b/>
          <w:bCs/>
          <w:spacing w:val="-7"/>
          <w:w w:val="110"/>
          <w:sz w:val="28"/>
          <w:szCs w:val="28"/>
          <w:lang w:val="en-US" w:eastAsia="zh-CN"/>
        </w:rPr>
        <w:t>2.引进与培养相结合，持续推进导师队伍建设</w:t>
      </w:r>
    </w:p>
    <w:p>
      <w:pPr>
        <w:snapToGrid w:val="0"/>
        <w:spacing w:line="360" w:lineRule="auto"/>
        <w:ind w:firstLine="588" w:firstLineChars="200"/>
        <w:rPr>
          <w:rFonts w:hint="eastAsia" w:ascii="仿宋" w:hAnsi="仿宋" w:eastAsia="仿宋"/>
          <w:spacing w:val="-7"/>
          <w:w w:val="110"/>
          <w:sz w:val="28"/>
          <w:szCs w:val="28"/>
          <w:lang w:val="en-US" w:eastAsia="zh-CN"/>
        </w:rPr>
      </w:pPr>
      <w:r>
        <w:rPr>
          <w:rFonts w:hint="eastAsia" w:ascii="仿宋" w:hAnsi="仿宋" w:eastAsia="仿宋"/>
          <w:spacing w:val="-7"/>
          <w:w w:val="110"/>
          <w:sz w:val="28"/>
          <w:szCs w:val="28"/>
        </w:rPr>
        <w:t>持续推进研究团队建设，以服务区域经济社会发展为目标，进一步凝练学科方向，搭建较高层次学科平台，培养较高水平学科队伍。高度重视导师能力和素质建设工作，</w:t>
      </w:r>
      <w:r>
        <w:rPr>
          <w:rFonts w:hint="eastAsia" w:ascii="仿宋" w:hAnsi="仿宋" w:eastAsia="仿宋"/>
          <w:spacing w:val="-7"/>
          <w:w w:val="110"/>
          <w:sz w:val="28"/>
          <w:szCs w:val="28"/>
          <w:lang w:val="en-US" w:eastAsia="zh-CN"/>
        </w:rPr>
        <w:t>提高导师业务培训质量，</w:t>
      </w:r>
      <w:r>
        <w:rPr>
          <w:rFonts w:hint="eastAsia" w:ascii="仿宋" w:hAnsi="仿宋" w:eastAsia="仿宋"/>
          <w:spacing w:val="-7"/>
          <w:w w:val="110"/>
          <w:sz w:val="28"/>
          <w:szCs w:val="28"/>
        </w:rPr>
        <w:t>鼓励和支持导师持续创新研究生培养机制，</w:t>
      </w:r>
      <w:r>
        <w:rPr>
          <w:rFonts w:hint="eastAsia" w:ascii="仿宋" w:hAnsi="仿宋" w:eastAsia="仿宋"/>
          <w:spacing w:val="-7"/>
          <w:w w:val="110"/>
          <w:sz w:val="28"/>
          <w:szCs w:val="28"/>
          <w:lang w:val="en-US" w:eastAsia="zh-CN"/>
        </w:rPr>
        <w:t>同时</w:t>
      </w:r>
      <w:r>
        <w:rPr>
          <w:rFonts w:hint="eastAsia" w:ascii="仿宋" w:hAnsi="仿宋" w:eastAsia="仿宋"/>
          <w:spacing w:val="-7"/>
          <w:w w:val="110"/>
          <w:sz w:val="28"/>
          <w:szCs w:val="28"/>
        </w:rPr>
        <w:t>推进导师考核与激励机制创新，突出研究生导师在研究生培养中的主体地位，</w:t>
      </w:r>
      <w:r>
        <w:rPr>
          <w:rFonts w:hint="eastAsia" w:ascii="仿宋" w:hAnsi="仿宋" w:eastAsia="仿宋"/>
          <w:spacing w:val="-7"/>
          <w:w w:val="110"/>
          <w:sz w:val="28"/>
          <w:szCs w:val="28"/>
          <w:lang w:val="en-US" w:eastAsia="zh-CN"/>
        </w:rPr>
        <w:t>提高导师的</w:t>
      </w:r>
      <w:r>
        <w:rPr>
          <w:rFonts w:hint="eastAsia" w:ascii="仿宋" w:hAnsi="仿宋" w:eastAsia="仿宋"/>
          <w:spacing w:val="-7"/>
          <w:w w:val="110"/>
          <w:sz w:val="28"/>
          <w:szCs w:val="28"/>
        </w:rPr>
        <w:t>积极性。</w:t>
      </w:r>
      <w:r>
        <w:rPr>
          <w:rFonts w:hint="eastAsia" w:ascii="仿宋" w:hAnsi="仿宋" w:eastAsia="仿宋"/>
          <w:spacing w:val="-7"/>
          <w:w w:val="110"/>
          <w:sz w:val="28"/>
          <w:szCs w:val="28"/>
          <w:lang w:val="en-US" w:eastAsia="zh-CN"/>
        </w:rPr>
        <w:t>培养的同时，要</w:t>
      </w:r>
      <w:r>
        <w:rPr>
          <w:rFonts w:hint="eastAsia" w:ascii="仿宋" w:hAnsi="仿宋" w:eastAsia="仿宋"/>
          <w:spacing w:val="-7"/>
          <w:w w:val="110"/>
          <w:sz w:val="28"/>
          <w:szCs w:val="28"/>
          <w:lang w:eastAsia="zh-CN"/>
        </w:rPr>
        <w:t>努力引进高水平学科带头人和高层次中青年学术骨干，充分发挥学校“俊彦”计划和“双一流”学科建设政策和经费的支持效应，加大对学科带头人和中青年学术骨干的激励力度，创建良好的科研学术氛围，积极推进实施学位点人才梯队培育工程。</w:t>
      </w:r>
    </w:p>
    <w:p>
      <w:pPr>
        <w:snapToGrid w:val="0"/>
        <w:spacing w:line="360" w:lineRule="auto"/>
        <w:ind w:firstLine="590" w:firstLineChars="200"/>
        <w:rPr>
          <w:rFonts w:hint="eastAsia" w:ascii="仿宋" w:hAnsi="仿宋" w:eastAsia="仿宋"/>
          <w:b/>
          <w:bCs/>
          <w:spacing w:val="-7"/>
          <w:w w:val="110"/>
          <w:sz w:val="28"/>
          <w:szCs w:val="28"/>
        </w:rPr>
      </w:pPr>
      <w:r>
        <w:rPr>
          <w:rFonts w:hint="eastAsia" w:ascii="仿宋" w:hAnsi="仿宋" w:eastAsia="仿宋"/>
          <w:b/>
          <w:bCs/>
          <w:spacing w:val="-7"/>
          <w:w w:val="110"/>
          <w:sz w:val="28"/>
          <w:szCs w:val="28"/>
          <w:lang w:val="en-US" w:eastAsia="zh-CN"/>
        </w:rPr>
        <w:t>3.多渠道</w:t>
      </w:r>
      <w:r>
        <w:rPr>
          <w:rFonts w:hint="eastAsia" w:ascii="仿宋" w:hAnsi="仿宋" w:eastAsia="仿宋"/>
          <w:b/>
          <w:bCs/>
          <w:spacing w:val="-7"/>
          <w:w w:val="110"/>
          <w:sz w:val="28"/>
          <w:szCs w:val="28"/>
        </w:rPr>
        <w:t>并行</w:t>
      </w:r>
      <w:r>
        <w:rPr>
          <w:rFonts w:hint="eastAsia" w:ascii="仿宋" w:hAnsi="仿宋" w:eastAsia="仿宋"/>
          <w:b/>
          <w:bCs/>
          <w:spacing w:val="-7"/>
          <w:w w:val="110"/>
          <w:sz w:val="28"/>
          <w:szCs w:val="28"/>
          <w:lang w:eastAsia="zh-CN"/>
        </w:rPr>
        <w:t>，</w:t>
      </w:r>
      <w:r>
        <w:rPr>
          <w:rFonts w:hint="eastAsia" w:ascii="仿宋" w:hAnsi="仿宋" w:eastAsia="仿宋"/>
          <w:b/>
          <w:bCs/>
          <w:spacing w:val="-7"/>
          <w:w w:val="110"/>
          <w:sz w:val="28"/>
          <w:szCs w:val="28"/>
        </w:rPr>
        <w:t>推进研究生培养平台建设</w:t>
      </w:r>
    </w:p>
    <w:p>
      <w:pPr>
        <w:snapToGrid w:val="0"/>
        <w:spacing w:line="360" w:lineRule="auto"/>
        <w:ind w:firstLine="588" w:firstLineChars="200"/>
        <w:rPr>
          <w:rFonts w:hint="eastAsia" w:ascii="仿宋" w:hAnsi="仿宋" w:eastAsia="仿宋"/>
          <w:spacing w:val="-7"/>
          <w:w w:val="110"/>
          <w:sz w:val="28"/>
          <w:szCs w:val="28"/>
        </w:rPr>
      </w:pPr>
      <w:r>
        <w:rPr>
          <w:rFonts w:hint="eastAsia" w:ascii="仿宋" w:hAnsi="仿宋" w:eastAsia="仿宋"/>
          <w:spacing w:val="-7"/>
          <w:w w:val="110"/>
          <w:sz w:val="28"/>
          <w:szCs w:val="28"/>
        </w:rPr>
        <w:t>加大</w:t>
      </w:r>
      <w:r>
        <w:rPr>
          <w:rFonts w:hint="eastAsia" w:ascii="仿宋" w:hAnsi="仿宋" w:eastAsia="仿宋"/>
          <w:spacing w:val="-7"/>
          <w:w w:val="110"/>
          <w:sz w:val="28"/>
          <w:szCs w:val="28"/>
          <w:lang w:val="en-US" w:eastAsia="zh-CN"/>
        </w:rPr>
        <w:t>研究生培养人力、资金</w:t>
      </w:r>
      <w:r>
        <w:rPr>
          <w:rFonts w:hint="eastAsia" w:ascii="仿宋" w:hAnsi="仿宋" w:eastAsia="仿宋"/>
          <w:spacing w:val="-7"/>
          <w:w w:val="110"/>
          <w:sz w:val="28"/>
          <w:szCs w:val="28"/>
        </w:rPr>
        <w:t>投入，坚持“请进来”与“走出去”并行，</w:t>
      </w:r>
      <w:r>
        <w:rPr>
          <w:rFonts w:hint="eastAsia" w:ascii="仿宋" w:hAnsi="仿宋" w:eastAsia="仿宋"/>
          <w:spacing w:val="-7"/>
          <w:w w:val="110"/>
          <w:sz w:val="28"/>
          <w:szCs w:val="28"/>
          <w:lang w:val="en-US" w:eastAsia="zh-CN"/>
        </w:rPr>
        <w:t>通过</w:t>
      </w:r>
      <w:r>
        <w:rPr>
          <w:rFonts w:hint="eastAsia" w:ascii="仿宋" w:hAnsi="仿宋" w:eastAsia="仿宋"/>
          <w:spacing w:val="-7"/>
          <w:w w:val="110"/>
          <w:sz w:val="28"/>
          <w:szCs w:val="28"/>
        </w:rPr>
        <w:t>主办、承办、协办各类国际国内学术会议，为</w:t>
      </w:r>
      <w:r>
        <w:rPr>
          <w:rFonts w:hint="eastAsia" w:ascii="仿宋" w:hAnsi="仿宋" w:eastAsia="仿宋"/>
          <w:spacing w:val="-7"/>
          <w:w w:val="110"/>
          <w:sz w:val="28"/>
          <w:szCs w:val="28"/>
          <w:lang w:val="en-US" w:eastAsia="zh-CN"/>
        </w:rPr>
        <w:t>学位点</w:t>
      </w:r>
      <w:r>
        <w:rPr>
          <w:rFonts w:hint="eastAsia" w:ascii="仿宋" w:hAnsi="仿宋" w:eastAsia="仿宋"/>
          <w:spacing w:val="-7"/>
          <w:w w:val="110"/>
          <w:sz w:val="28"/>
          <w:szCs w:val="28"/>
        </w:rPr>
        <w:t>师生开展学术交流活动搭建平台；积极创造有利条件，支持师生赴海内外学习交流，开阔学术视野，提升学术水平。强化校友资源利用，发挥校友在案例开发、研究生实习等方面的特殊作用</w:t>
      </w:r>
      <w:r>
        <w:rPr>
          <w:rFonts w:hint="eastAsia" w:ascii="仿宋" w:hAnsi="仿宋" w:eastAsia="仿宋"/>
          <w:spacing w:val="-7"/>
          <w:w w:val="110"/>
          <w:sz w:val="28"/>
          <w:szCs w:val="28"/>
          <w:lang w:eastAsia="zh-CN"/>
        </w:rPr>
        <w:t>。</w:t>
      </w:r>
      <w:r>
        <w:rPr>
          <w:rFonts w:hint="eastAsia" w:ascii="仿宋" w:hAnsi="仿宋" w:eastAsia="仿宋"/>
          <w:spacing w:val="-7"/>
          <w:w w:val="110"/>
          <w:sz w:val="28"/>
          <w:szCs w:val="28"/>
        </w:rPr>
        <w:t>支持和鼓励老师积极申报校级和省级研究生培养创新基地，切实提升基地的建设质量。</w:t>
      </w:r>
    </w:p>
    <w:p>
      <w:pPr>
        <w:snapToGrid w:val="0"/>
        <w:spacing w:line="360" w:lineRule="auto"/>
        <w:ind w:firstLine="590" w:firstLineChars="200"/>
        <w:rPr>
          <w:rFonts w:hint="eastAsia" w:ascii="仿宋" w:hAnsi="仿宋" w:eastAsia="仿宋"/>
          <w:b/>
          <w:bCs/>
          <w:spacing w:val="-7"/>
          <w:w w:val="110"/>
          <w:sz w:val="28"/>
          <w:szCs w:val="28"/>
        </w:rPr>
      </w:pPr>
      <w:r>
        <w:rPr>
          <w:rFonts w:hint="eastAsia" w:ascii="仿宋" w:hAnsi="仿宋" w:eastAsia="仿宋"/>
          <w:b/>
          <w:bCs/>
          <w:spacing w:val="-7"/>
          <w:w w:val="110"/>
          <w:sz w:val="28"/>
          <w:szCs w:val="28"/>
          <w:lang w:val="en-US" w:eastAsia="zh-CN"/>
        </w:rPr>
        <w:t>4.继续</w:t>
      </w:r>
      <w:r>
        <w:rPr>
          <w:rFonts w:hint="eastAsia" w:ascii="仿宋" w:hAnsi="仿宋" w:eastAsia="仿宋"/>
          <w:b/>
          <w:bCs/>
          <w:spacing w:val="-7"/>
          <w:w w:val="110"/>
          <w:sz w:val="28"/>
          <w:szCs w:val="28"/>
        </w:rPr>
        <w:t>实施研究生科研创新素质提升工程</w:t>
      </w:r>
    </w:p>
    <w:p>
      <w:pPr>
        <w:snapToGrid w:val="0"/>
        <w:spacing w:line="360" w:lineRule="auto"/>
        <w:ind w:firstLine="588" w:firstLineChars="200"/>
        <w:rPr>
          <w:rFonts w:hint="eastAsia" w:ascii="仿宋" w:hAnsi="仿宋" w:eastAsia="仿宋"/>
          <w:spacing w:val="-7"/>
          <w:w w:val="110"/>
          <w:sz w:val="28"/>
          <w:szCs w:val="28"/>
        </w:rPr>
      </w:pPr>
      <w:r>
        <w:rPr>
          <w:rFonts w:hint="eastAsia" w:ascii="仿宋" w:hAnsi="仿宋" w:eastAsia="仿宋"/>
          <w:spacing w:val="-7"/>
          <w:w w:val="110"/>
          <w:sz w:val="28"/>
          <w:szCs w:val="28"/>
        </w:rPr>
        <w:t>发挥好风雨湖大讲堂、研究生学术沙龙等学术交流平台的作用，鼓励和支持研究生进行论文成果、案例探索等类型的学术报告和学术交流；鼓励和支持研究生申报各级各类课题、参与导师课题研究、参与学术交流、参与社会服务，支持研究生发表高质量论文和攻读博士学位，切实提升自身科研创新能力。以湖南省MBA企业案例大赛、湖南省MPAcc企业案例大赛、</w:t>
      </w:r>
      <w:r>
        <w:rPr>
          <w:rFonts w:hint="eastAsia" w:ascii="仿宋" w:hAnsi="仿宋" w:eastAsia="仿宋"/>
          <w:spacing w:val="-7"/>
          <w:w w:val="110"/>
          <w:sz w:val="28"/>
          <w:szCs w:val="28"/>
          <w:lang w:val="en-US" w:eastAsia="zh-CN"/>
        </w:rPr>
        <w:t>湖南省金融案例大赛、</w:t>
      </w:r>
      <w:r>
        <w:rPr>
          <w:rFonts w:hint="eastAsia" w:ascii="仿宋" w:hAnsi="仿宋" w:eastAsia="仿宋"/>
          <w:spacing w:val="-7"/>
          <w:w w:val="110"/>
          <w:sz w:val="28"/>
          <w:szCs w:val="28"/>
        </w:rPr>
        <w:t>研究生数学建模竞赛、全国大学生市场调查与分析大赛等项目为基础，切实发挥导师的积极性，以赛促学，持续推进研究生学科竞赛项目质量提升。</w:t>
      </w:r>
    </w:p>
    <w:p>
      <w:pPr>
        <w:snapToGrid w:val="0"/>
        <w:spacing w:line="360" w:lineRule="auto"/>
        <w:ind w:firstLine="590" w:firstLineChars="200"/>
        <w:rPr>
          <w:rFonts w:hint="eastAsia" w:ascii="仿宋" w:hAnsi="仿宋" w:eastAsia="仿宋"/>
          <w:b/>
          <w:bCs/>
          <w:spacing w:val="-7"/>
          <w:w w:val="110"/>
          <w:sz w:val="28"/>
          <w:szCs w:val="28"/>
          <w:lang w:val="en-US" w:eastAsia="zh-CN"/>
        </w:rPr>
      </w:pPr>
      <w:r>
        <w:rPr>
          <w:rFonts w:hint="eastAsia" w:ascii="仿宋" w:hAnsi="仿宋" w:eastAsia="仿宋"/>
          <w:b/>
          <w:bCs/>
          <w:spacing w:val="-7"/>
          <w:w w:val="110"/>
          <w:sz w:val="28"/>
          <w:szCs w:val="28"/>
          <w:lang w:val="en-US" w:eastAsia="zh-CN"/>
        </w:rPr>
        <w:t>5.进一步</w:t>
      </w:r>
      <w:r>
        <w:rPr>
          <w:rFonts w:hint="eastAsia" w:ascii="仿宋" w:hAnsi="仿宋" w:eastAsia="仿宋"/>
          <w:b/>
          <w:bCs/>
          <w:spacing w:val="-7"/>
          <w:w w:val="110"/>
          <w:sz w:val="28"/>
          <w:szCs w:val="28"/>
        </w:rPr>
        <w:t>创新研究生教育管理机制</w:t>
      </w:r>
      <w:r>
        <w:rPr>
          <w:rFonts w:hint="eastAsia" w:ascii="仿宋" w:hAnsi="仿宋" w:eastAsia="仿宋"/>
          <w:b/>
          <w:bCs/>
          <w:spacing w:val="-7"/>
          <w:w w:val="110"/>
          <w:sz w:val="28"/>
          <w:szCs w:val="28"/>
          <w:lang w:eastAsia="zh-CN"/>
        </w:rPr>
        <w:t>，</w:t>
      </w:r>
      <w:r>
        <w:rPr>
          <w:rFonts w:hint="eastAsia" w:ascii="仿宋" w:hAnsi="仿宋" w:eastAsia="仿宋"/>
          <w:b/>
          <w:bCs/>
          <w:spacing w:val="-7"/>
          <w:w w:val="110"/>
          <w:sz w:val="28"/>
          <w:szCs w:val="28"/>
          <w:lang w:val="en-US" w:eastAsia="zh-CN"/>
        </w:rPr>
        <w:t>提高研究生培养质量</w:t>
      </w:r>
    </w:p>
    <w:p>
      <w:pPr>
        <w:snapToGrid w:val="0"/>
        <w:spacing w:line="360" w:lineRule="auto"/>
        <w:ind w:firstLine="588" w:firstLineChars="200"/>
        <w:rPr>
          <w:rFonts w:ascii="宋体" w:hAnsi="宋体"/>
          <w:spacing w:val="-7"/>
          <w:w w:val="110"/>
          <w:sz w:val="28"/>
          <w:szCs w:val="28"/>
        </w:rPr>
      </w:pPr>
      <w:r>
        <w:rPr>
          <w:rFonts w:hint="eastAsia" w:ascii="仿宋" w:hAnsi="仿宋" w:eastAsia="仿宋"/>
          <w:spacing w:val="-7"/>
          <w:w w:val="110"/>
          <w:sz w:val="28"/>
          <w:szCs w:val="28"/>
          <w:lang w:val="en-US" w:eastAsia="zh-CN"/>
        </w:rPr>
        <w:t>进一步理顺</w:t>
      </w:r>
      <w:r>
        <w:rPr>
          <w:rFonts w:hint="eastAsia" w:ascii="仿宋" w:hAnsi="仿宋" w:eastAsia="仿宋"/>
          <w:spacing w:val="-7"/>
          <w:w w:val="110"/>
          <w:sz w:val="28"/>
          <w:szCs w:val="28"/>
        </w:rPr>
        <w:t>学院党委、行政、导师等主体的协同作用，加强研究生思想政治</w:t>
      </w:r>
      <w:r>
        <w:rPr>
          <w:rFonts w:hint="eastAsia" w:ascii="仿宋" w:hAnsi="仿宋" w:eastAsia="仿宋"/>
          <w:spacing w:val="-7"/>
          <w:w w:val="110"/>
          <w:sz w:val="28"/>
          <w:szCs w:val="28"/>
          <w:lang w:val="en-US" w:eastAsia="zh-CN"/>
        </w:rPr>
        <w:t>与专业培养</w:t>
      </w:r>
      <w:r>
        <w:rPr>
          <w:rFonts w:hint="eastAsia" w:ascii="仿宋" w:hAnsi="仿宋" w:eastAsia="仿宋"/>
          <w:spacing w:val="-7"/>
          <w:w w:val="110"/>
          <w:sz w:val="28"/>
          <w:szCs w:val="28"/>
        </w:rPr>
        <w:t>教育。不断优化研究生教育管理的流程，做好研究生培养和管理各环节的质量控制</w:t>
      </w:r>
      <w:r>
        <w:rPr>
          <w:rFonts w:hint="eastAsia" w:ascii="仿宋" w:hAnsi="仿宋" w:eastAsia="仿宋"/>
          <w:spacing w:val="-7"/>
          <w:w w:val="110"/>
          <w:sz w:val="28"/>
          <w:szCs w:val="28"/>
          <w:lang w:eastAsia="zh-CN"/>
        </w:rPr>
        <w:t>，</w:t>
      </w:r>
      <w:r>
        <w:rPr>
          <w:rFonts w:hint="eastAsia" w:ascii="仿宋" w:hAnsi="仿宋" w:eastAsia="仿宋"/>
          <w:spacing w:val="-7"/>
          <w:w w:val="110"/>
          <w:sz w:val="28"/>
          <w:szCs w:val="28"/>
          <w:lang w:val="en-US" w:eastAsia="zh-CN"/>
        </w:rPr>
        <w:t>通过定期开展行政管理人员、导师、班委、研究生的相关会议，至少一个月开一次研究生培养教育管理大会，梳理本月的主要工作，并对上一个月的工作进行总结；同时通过定期开导师会议可以加强导师责任制的实行，把握好研究生的教育培养，定期完成培养方案学分；通过定期开班委会以便及时了解班上的动态，同时也是班级问题反馈的重要渠道；研究生会议主要是以便研究生的思想教育学习，加强研究生的理想目标和社会主义核心价值观教育。多方主体的管理机制有助于研究生培养质量与行政人员管理水平的提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Y2E2MmEzZTJiYmJlZDM3OGVmOGUxNDBiYTg3ZTgifQ=="/>
  </w:docVars>
  <w:rsids>
    <w:rsidRoot w:val="50B15851"/>
    <w:rsid w:val="000460C4"/>
    <w:rsid w:val="00053EE5"/>
    <w:rsid w:val="0013451B"/>
    <w:rsid w:val="00164706"/>
    <w:rsid w:val="001B5F8A"/>
    <w:rsid w:val="001D596B"/>
    <w:rsid w:val="00265A8C"/>
    <w:rsid w:val="00297F11"/>
    <w:rsid w:val="00301E02"/>
    <w:rsid w:val="003513BC"/>
    <w:rsid w:val="0036539E"/>
    <w:rsid w:val="00385644"/>
    <w:rsid w:val="00386F0E"/>
    <w:rsid w:val="00390741"/>
    <w:rsid w:val="00433426"/>
    <w:rsid w:val="00445BE2"/>
    <w:rsid w:val="00456ABD"/>
    <w:rsid w:val="004F5018"/>
    <w:rsid w:val="00521A7A"/>
    <w:rsid w:val="00533BCB"/>
    <w:rsid w:val="005823F0"/>
    <w:rsid w:val="005B0B7F"/>
    <w:rsid w:val="005B6F24"/>
    <w:rsid w:val="00611EFF"/>
    <w:rsid w:val="00643C43"/>
    <w:rsid w:val="006455DF"/>
    <w:rsid w:val="006722B2"/>
    <w:rsid w:val="00677670"/>
    <w:rsid w:val="006F0050"/>
    <w:rsid w:val="006F3452"/>
    <w:rsid w:val="0070106A"/>
    <w:rsid w:val="0070133E"/>
    <w:rsid w:val="00707BBF"/>
    <w:rsid w:val="00725345"/>
    <w:rsid w:val="00726AB4"/>
    <w:rsid w:val="00730609"/>
    <w:rsid w:val="00782BA4"/>
    <w:rsid w:val="007B190C"/>
    <w:rsid w:val="007B4D9F"/>
    <w:rsid w:val="007C151F"/>
    <w:rsid w:val="008152AC"/>
    <w:rsid w:val="00844D45"/>
    <w:rsid w:val="00867A00"/>
    <w:rsid w:val="008932BA"/>
    <w:rsid w:val="008A2674"/>
    <w:rsid w:val="008A467F"/>
    <w:rsid w:val="008B3E1F"/>
    <w:rsid w:val="00940A6C"/>
    <w:rsid w:val="009522D1"/>
    <w:rsid w:val="00962631"/>
    <w:rsid w:val="00987BA8"/>
    <w:rsid w:val="00995C41"/>
    <w:rsid w:val="009D11E1"/>
    <w:rsid w:val="009E2D11"/>
    <w:rsid w:val="009E4411"/>
    <w:rsid w:val="00A3565C"/>
    <w:rsid w:val="00A9729D"/>
    <w:rsid w:val="00AB1262"/>
    <w:rsid w:val="00AB66A9"/>
    <w:rsid w:val="00AC51EB"/>
    <w:rsid w:val="00AF37D5"/>
    <w:rsid w:val="00B44123"/>
    <w:rsid w:val="00B87EF8"/>
    <w:rsid w:val="00B96157"/>
    <w:rsid w:val="00BD22F6"/>
    <w:rsid w:val="00BF387B"/>
    <w:rsid w:val="00C309BC"/>
    <w:rsid w:val="00C516ED"/>
    <w:rsid w:val="00C824F5"/>
    <w:rsid w:val="00C85D59"/>
    <w:rsid w:val="00CB0BFC"/>
    <w:rsid w:val="00CD56A4"/>
    <w:rsid w:val="00CE20B6"/>
    <w:rsid w:val="00CF75DF"/>
    <w:rsid w:val="00D749EA"/>
    <w:rsid w:val="00D93E55"/>
    <w:rsid w:val="00DC124F"/>
    <w:rsid w:val="00E602B5"/>
    <w:rsid w:val="00E737FA"/>
    <w:rsid w:val="00ED377B"/>
    <w:rsid w:val="00F35473"/>
    <w:rsid w:val="00F626F8"/>
    <w:rsid w:val="00F650B3"/>
    <w:rsid w:val="00FC70C0"/>
    <w:rsid w:val="00FE7807"/>
    <w:rsid w:val="01E3718B"/>
    <w:rsid w:val="04692CD0"/>
    <w:rsid w:val="04757F46"/>
    <w:rsid w:val="058830A2"/>
    <w:rsid w:val="07B742AB"/>
    <w:rsid w:val="08C93655"/>
    <w:rsid w:val="08D656EB"/>
    <w:rsid w:val="09173A60"/>
    <w:rsid w:val="091F0E0B"/>
    <w:rsid w:val="09231C4C"/>
    <w:rsid w:val="09547D9A"/>
    <w:rsid w:val="0A6765EE"/>
    <w:rsid w:val="0D10175C"/>
    <w:rsid w:val="0F071BA5"/>
    <w:rsid w:val="0FC03992"/>
    <w:rsid w:val="10493C0A"/>
    <w:rsid w:val="11CA2884"/>
    <w:rsid w:val="12335138"/>
    <w:rsid w:val="12D96F24"/>
    <w:rsid w:val="12E24494"/>
    <w:rsid w:val="13A935BD"/>
    <w:rsid w:val="145B4C97"/>
    <w:rsid w:val="15F84AA5"/>
    <w:rsid w:val="16792E84"/>
    <w:rsid w:val="188C2B26"/>
    <w:rsid w:val="190470B1"/>
    <w:rsid w:val="19F17D72"/>
    <w:rsid w:val="1A711AC0"/>
    <w:rsid w:val="1B3C14F7"/>
    <w:rsid w:val="1CDF5F24"/>
    <w:rsid w:val="1FB519E5"/>
    <w:rsid w:val="1FDA598B"/>
    <w:rsid w:val="1FDC0735"/>
    <w:rsid w:val="212311E7"/>
    <w:rsid w:val="21B20AD4"/>
    <w:rsid w:val="23773B77"/>
    <w:rsid w:val="244A27F5"/>
    <w:rsid w:val="24896BD3"/>
    <w:rsid w:val="25463EAF"/>
    <w:rsid w:val="27677991"/>
    <w:rsid w:val="27F669D8"/>
    <w:rsid w:val="290553B3"/>
    <w:rsid w:val="295054F6"/>
    <w:rsid w:val="29707988"/>
    <w:rsid w:val="297851FE"/>
    <w:rsid w:val="2A7E549F"/>
    <w:rsid w:val="2AAE68E9"/>
    <w:rsid w:val="2DE80131"/>
    <w:rsid w:val="2F106B60"/>
    <w:rsid w:val="30140919"/>
    <w:rsid w:val="320724DA"/>
    <w:rsid w:val="32D631F0"/>
    <w:rsid w:val="35DC6A5F"/>
    <w:rsid w:val="3615049E"/>
    <w:rsid w:val="36CC1EA5"/>
    <w:rsid w:val="3756408B"/>
    <w:rsid w:val="396C6715"/>
    <w:rsid w:val="3972198D"/>
    <w:rsid w:val="39B06A80"/>
    <w:rsid w:val="3A955F6D"/>
    <w:rsid w:val="3AC94A09"/>
    <w:rsid w:val="3AEA7F01"/>
    <w:rsid w:val="3C1E2652"/>
    <w:rsid w:val="3D165FD2"/>
    <w:rsid w:val="3D763179"/>
    <w:rsid w:val="3E9B0C43"/>
    <w:rsid w:val="40056133"/>
    <w:rsid w:val="401C35B7"/>
    <w:rsid w:val="40D33D5E"/>
    <w:rsid w:val="4186142F"/>
    <w:rsid w:val="41B80492"/>
    <w:rsid w:val="41CE636A"/>
    <w:rsid w:val="42AA2525"/>
    <w:rsid w:val="42B375DC"/>
    <w:rsid w:val="42E373E0"/>
    <w:rsid w:val="44A27907"/>
    <w:rsid w:val="45C63752"/>
    <w:rsid w:val="46C21EE4"/>
    <w:rsid w:val="46C657F5"/>
    <w:rsid w:val="484F30AC"/>
    <w:rsid w:val="48C37EC0"/>
    <w:rsid w:val="48ED3CFA"/>
    <w:rsid w:val="4A6D43F8"/>
    <w:rsid w:val="4B090573"/>
    <w:rsid w:val="4BA428E3"/>
    <w:rsid w:val="4C7251C4"/>
    <w:rsid w:val="4F536D5B"/>
    <w:rsid w:val="505E2487"/>
    <w:rsid w:val="506B2DC1"/>
    <w:rsid w:val="50A907B5"/>
    <w:rsid w:val="50B15851"/>
    <w:rsid w:val="50DE175A"/>
    <w:rsid w:val="52E346FA"/>
    <w:rsid w:val="5370715D"/>
    <w:rsid w:val="54B05D25"/>
    <w:rsid w:val="553E1482"/>
    <w:rsid w:val="58133499"/>
    <w:rsid w:val="58FD337D"/>
    <w:rsid w:val="59104463"/>
    <w:rsid w:val="5ABF31FE"/>
    <w:rsid w:val="5B16297F"/>
    <w:rsid w:val="5BC93005"/>
    <w:rsid w:val="5C7356E2"/>
    <w:rsid w:val="5CDF179C"/>
    <w:rsid w:val="5CE42197"/>
    <w:rsid w:val="5F163088"/>
    <w:rsid w:val="5FDE12AF"/>
    <w:rsid w:val="60927329"/>
    <w:rsid w:val="618B1F5D"/>
    <w:rsid w:val="61AA0037"/>
    <w:rsid w:val="64C94D78"/>
    <w:rsid w:val="65EC271D"/>
    <w:rsid w:val="66464FC5"/>
    <w:rsid w:val="66C427B4"/>
    <w:rsid w:val="68BC5B39"/>
    <w:rsid w:val="6DB81AA3"/>
    <w:rsid w:val="6DBA1486"/>
    <w:rsid w:val="6FC92F48"/>
    <w:rsid w:val="71103BE6"/>
    <w:rsid w:val="724E4B0C"/>
    <w:rsid w:val="73840403"/>
    <w:rsid w:val="78480ED5"/>
    <w:rsid w:val="78C338C8"/>
    <w:rsid w:val="7A8366A9"/>
    <w:rsid w:val="7BA94B16"/>
    <w:rsid w:val="7D475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6"/>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0"/>
    <w:pPr>
      <w:keepNext/>
      <w:keepLines/>
      <w:spacing w:line="416" w:lineRule="auto"/>
      <w:outlineLvl w:val="2"/>
    </w:pPr>
    <w:rPr>
      <w:rFonts w:ascii="Times New Roman" w:hAnsi="Times New Roman" w:eastAsia="宋体"/>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autoRedefine/>
    <w:qFormat/>
    <w:uiPriority w:val="0"/>
    <w:pPr>
      <w:spacing w:after="120"/>
    </w:pPr>
  </w:style>
  <w:style w:type="paragraph" w:styleId="7">
    <w:name w:val="Body Text Indent"/>
    <w:basedOn w:val="1"/>
    <w:unhideWhenUsed/>
    <w:qFormat/>
    <w:uiPriority w:val="99"/>
    <w:pPr>
      <w:spacing w:after="120"/>
      <w:ind w:left="420" w:leftChars="200"/>
    </w:pPr>
  </w:style>
  <w:style w:type="paragraph" w:styleId="8">
    <w:name w:val="toc 3"/>
    <w:basedOn w:val="1"/>
    <w:next w:val="1"/>
    <w:qFormat/>
    <w:uiPriority w:val="39"/>
    <w:pPr>
      <w:ind w:left="840" w:leftChars="400"/>
    </w:pPr>
  </w:style>
  <w:style w:type="paragraph" w:styleId="9">
    <w:name w:val="footer"/>
    <w:basedOn w:val="1"/>
    <w:link w:val="25"/>
    <w:autoRedefine/>
    <w:qFormat/>
    <w:uiPriority w:val="0"/>
    <w:pPr>
      <w:tabs>
        <w:tab w:val="center" w:pos="4153"/>
        <w:tab w:val="right" w:pos="8306"/>
      </w:tabs>
      <w:snapToGrid w:val="0"/>
      <w:jc w:val="left"/>
    </w:pPr>
    <w:rPr>
      <w:sz w:val="18"/>
      <w:szCs w:val="18"/>
    </w:rPr>
  </w:style>
  <w:style w:type="paragraph" w:styleId="10">
    <w:name w:val="header"/>
    <w:basedOn w:val="1"/>
    <w:link w:val="24"/>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toc 2"/>
    <w:basedOn w:val="1"/>
    <w:next w:val="1"/>
    <w:autoRedefine/>
    <w:unhideWhenUsed/>
    <w:qFormat/>
    <w:uiPriority w:val="39"/>
    <w:pPr>
      <w:ind w:left="420" w:leftChars="200"/>
    </w:pPr>
  </w:style>
  <w:style w:type="paragraph" w:styleId="13">
    <w:name w:val="Body Text First Indent 2"/>
    <w:basedOn w:val="7"/>
    <w:autoRedefine/>
    <w:unhideWhenUsed/>
    <w:qFormat/>
    <w:uiPriority w:val="99"/>
    <w:pPr>
      <w:ind w:firstLine="42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autoRedefine/>
    <w:unhideWhenUsed/>
    <w:qFormat/>
    <w:uiPriority w:val="99"/>
    <w:rPr>
      <w:color w:val="0563C1" w:themeColor="hyperlink"/>
      <w:u w:val="single"/>
      <w14:textFill>
        <w14:solidFill>
          <w14:schemeClr w14:val="hlink"/>
        </w14:solidFill>
      </w14:textFill>
    </w:rPr>
  </w:style>
  <w:style w:type="paragraph" w:customStyle="1" w:styleId="18">
    <w:name w:val="标准"/>
    <w:basedOn w:val="1"/>
    <w:autoRedefine/>
    <w:qFormat/>
    <w:uiPriority w:val="0"/>
    <w:pPr>
      <w:adjustRightInd w:val="0"/>
      <w:spacing w:before="120" w:after="120" w:line="312" w:lineRule="atLeast"/>
      <w:textAlignment w:val="baseline"/>
    </w:pPr>
    <w:rPr>
      <w:rFonts w:ascii="宋体"/>
      <w:kern w:val="0"/>
    </w:rPr>
  </w:style>
  <w:style w:type="character" w:customStyle="1" w:styleId="19">
    <w:name w:val="font41"/>
    <w:basedOn w:val="16"/>
    <w:autoRedefine/>
    <w:qFormat/>
    <w:uiPriority w:val="0"/>
    <w:rPr>
      <w:rFonts w:hint="eastAsia" w:ascii="宋体" w:hAnsi="宋体" w:eastAsia="宋体" w:cs="宋体"/>
      <w:color w:val="000000"/>
      <w:sz w:val="22"/>
      <w:szCs w:val="22"/>
      <w:u w:val="none"/>
    </w:rPr>
  </w:style>
  <w:style w:type="character" w:customStyle="1" w:styleId="20">
    <w:name w:val="font81"/>
    <w:basedOn w:val="16"/>
    <w:qFormat/>
    <w:uiPriority w:val="0"/>
    <w:rPr>
      <w:rFonts w:hint="eastAsia" w:ascii="宋体" w:hAnsi="宋体" w:eastAsia="宋体" w:cs="宋体"/>
      <w:color w:val="000000"/>
      <w:sz w:val="22"/>
      <w:szCs w:val="22"/>
      <w:u w:val="none"/>
    </w:rPr>
  </w:style>
  <w:style w:type="character" w:customStyle="1" w:styleId="21">
    <w:name w:val="font61"/>
    <w:basedOn w:val="16"/>
    <w:autoRedefine/>
    <w:qFormat/>
    <w:uiPriority w:val="0"/>
    <w:rPr>
      <w:rFonts w:hint="default" w:ascii="Times New Roman" w:hAnsi="Times New Roman" w:cs="Times New Roman"/>
      <w:color w:val="000000"/>
      <w:sz w:val="22"/>
      <w:szCs w:val="22"/>
      <w:u w:val="none"/>
    </w:rPr>
  </w:style>
  <w:style w:type="character" w:customStyle="1" w:styleId="22">
    <w:name w:val="font01"/>
    <w:basedOn w:val="16"/>
    <w:qFormat/>
    <w:uiPriority w:val="0"/>
    <w:rPr>
      <w:rFonts w:hint="eastAsia" w:ascii="宋体" w:hAnsi="宋体" w:eastAsia="宋体" w:cs="宋体"/>
      <w:color w:val="000000"/>
      <w:sz w:val="22"/>
      <w:szCs w:val="22"/>
      <w:u w:val="none"/>
    </w:rPr>
  </w:style>
  <w:style w:type="character" w:customStyle="1" w:styleId="23">
    <w:name w:val="font21"/>
    <w:basedOn w:val="16"/>
    <w:autoRedefine/>
    <w:qFormat/>
    <w:uiPriority w:val="0"/>
    <w:rPr>
      <w:rFonts w:hint="default" w:ascii="Times New Roman" w:hAnsi="Times New Roman" w:cs="Times New Roman"/>
      <w:color w:val="000000"/>
      <w:sz w:val="22"/>
      <w:szCs w:val="22"/>
      <w:u w:val="none"/>
    </w:rPr>
  </w:style>
  <w:style w:type="character" w:customStyle="1" w:styleId="24">
    <w:name w:val="页眉 字符"/>
    <w:basedOn w:val="16"/>
    <w:link w:val="10"/>
    <w:autoRedefine/>
    <w:qFormat/>
    <w:uiPriority w:val="0"/>
    <w:rPr>
      <w:kern w:val="2"/>
      <w:sz w:val="18"/>
      <w:szCs w:val="18"/>
    </w:rPr>
  </w:style>
  <w:style w:type="character" w:customStyle="1" w:styleId="25">
    <w:name w:val="页脚 字符"/>
    <w:basedOn w:val="16"/>
    <w:link w:val="9"/>
    <w:autoRedefine/>
    <w:qFormat/>
    <w:uiPriority w:val="0"/>
    <w:rPr>
      <w:kern w:val="2"/>
      <w:sz w:val="18"/>
      <w:szCs w:val="18"/>
    </w:rPr>
  </w:style>
  <w:style w:type="character" w:customStyle="1" w:styleId="26">
    <w:name w:val="标题 2 字符"/>
    <w:basedOn w:val="16"/>
    <w:link w:val="3"/>
    <w:autoRedefine/>
    <w:qFormat/>
    <w:uiPriority w:val="0"/>
    <w:rPr>
      <w:rFonts w:asciiTheme="majorHAnsi" w:hAnsiTheme="majorHAnsi" w:eastAsiaTheme="majorEastAsia" w:cstheme="majorBidi"/>
      <w:b/>
      <w:bCs/>
      <w:kern w:val="2"/>
      <w:sz w:val="32"/>
      <w:szCs w:val="32"/>
    </w:rPr>
  </w:style>
  <w:style w:type="character" w:customStyle="1" w:styleId="27">
    <w:name w:val="标题 3 字符"/>
    <w:basedOn w:val="16"/>
    <w:link w:val="4"/>
    <w:autoRedefine/>
    <w:qFormat/>
    <w:uiPriority w:val="0"/>
    <w:rPr>
      <w:rFonts w:ascii="Times New Roman" w:hAnsi="Times New Roman" w:eastAsia="宋体"/>
      <w:b/>
      <w:bCs/>
      <w:kern w:val="2"/>
      <w:sz w:val="32"/>
      <w:szCs w:val="32"/>
    </w:rPr>
  </w:style>
  <w:style w:type="character" w:customStyle="1" w:styleId="28">
    <w:name w:val="标题 1 字符"/>
    <w:basedOn w:val="16"/>
    <w:link w:val="2"/>
    <w:autoRedefine/>
    <w:qFormat/>
    <w:uiPriority w:val="0"/>
    <w:rPr>
      <w:b/>
      <w:bCs/>
      <w:kern w:val="44"/>
      <w:sz w:val="44"/>
      <w:szCs w:val="44"/>
    </w:rPr>
  </w:style>
  <w:style w:type="paragraph" w:customStyle="1" w:styleId="29">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30">
    <w:name w:val="List Paragraph"/>
    <w:basedOn w:val="1"/>
    <w:qFormat/>
    <w:uiPriority w:val="99"/>
    <w:pPr>
      <w:ind w:firstLine="420" w:firstLineChars="200"/>
    </w:pPr>
  </w:style>
  <w:style w:type="character" w:customStyle="1" w:styleId="31">
    <w:name w:val="font11"/>
    <w:basedOn w:val="16"/>
    <w:autoRedefine/>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A005F-6CB3-4654-B6E8-7C29FBDA85A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14844</Words>
  <Characters>17329</Characters>
  <Lines>121</Lines>
  <Paragraphs>34</Paragraphs>
  <TotalTime>2</TotalTime>
  <ScaleCrop>false</ScaleCrop>
  <LinksUpToDate>false</LinksUpToDate>
  <CharactersWithSpaces>18196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2021-03-01T01:13:00Z</dcterms:created>
  <dc:creator>wulala</dc:creator>
  <cp:lastModifiedBy>zouzou</cp:lastModifiedBy>
  <dcterms:modified xsi:type="dcterms:W3CDTF">2024-01-04T14:22:06Z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9E5F5F02A5CB41689F945EC2D6CDEB63</vt:lpwstr>
  </property>
</Properties>
</file>