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65"/>
        </w:tabs>
        <w:rPr>
          <w:rFonts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2014855</wp:posOffset>
            </wp:positionH>
            <wp:positionV relativeFrom="paragraph">
              <wp:posOffset>283845</wp:posOffset>
            </wp:positionV>
            <wp:extent cx="2514600" cy="848995"/>
            <wp:effectExtent l="0" t="0" r="0" b="8255"/>
            <wp:wrapNone/>
            <wp:docPr id="2" name="图片 2" descr="彩色校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彩色校徵"/>
                    <pic:cNvPicPr>
                      <a:picLocks noChangeAspect="1"/>
                    </pic:cNvPicPr>
                  </pic:nvPicPr>
                  <pic:blipFill>
                    <a:blip r:embed="rId4"/>
                    <a:srcRect t="60800"/>
                    <a:stretch>
                      <a:fillRect/>
                    </a:stretch>
                  </pic:blipFill>
                  <pic:spPr>
                    <a:xfrm>
                      <a:off x="0" y="0"/>
                      <a:ext cx="2514600" cy="848995"/>
                    </a:xfrm>
                    <a:prstGeom prst="rect">
                      <a:avLst/>
                    </a:prstGeom>
                    <a:noFill/>
                    <a:ln>
                      <a:noFill/>
                    </a:ln>
                  </pic:spPr>
                </pic:pic>
              </a:graphicData>
            </a:graphic>
          </wp:anchor>
        </w:drawing>
      </w:r>
      <w:r>
        <w:rPr>
          <w:rFonts w:hint="eastAsia" w:ascii="仿宋_GB2312" w:eastAsia="仿宋_GB2312"/>
          <w:sz w:val="32"/>
          <w:szCs w:val="32"/>
        </w:rPr>
        <w:drawing>
          <wp:inline distT="0" distB="0" distL="114300" distR="114300">
            <wp:extent cx="1421130" cy="1327785"/>
            <wp:effectExtent l="0" t="0" r="7620" b="5715"/>
            <wp:docPr id="1" name="图片 1" descr="彩色校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彩色校徵"/>
                    <pic:cNvPicPr>
                      <a:picLocks noChangeAspect="1"/>
                    </pic:cNvPicPr>
                  </pic:nvPicPr>
                  <pic:blipFill>
                    <a:blip r:embed="rId4"/>
                    <a:srcRect l="20328" r="22957" b="38481"/>
                    <a:stretch>
                      <a:fillRect/>
                    </a:stretch>
                  </pic:blipFill>
                  <pic:spPr>
                    <a:xfrm>
                      <a:off x="0" y="0"/>
                      <a:ext cx="1421130" cy="1327785"/>
                    </a:xfrm>
                    <a:prstGeom prst="rect">
                      <a:avLst/>
                    </a:prstGeom>
                    <a:noFill/>
                    <a:ln>
                      <a:noFill/>
                    </a:ln>
                  </pic:spPr>
                </pic:pic>
              </a:graphicData>
            </a:graphic>
          </wp:inline>
        </w:drawing>
      </w:r>
    </w:p>
    <w:p>
      <w:pPr>
        <w:tabs>
          <w:tab w:val="left" w:pos="7665"/>
        </w:tabs>
        <w:ind w:left="3680" w:right="736" w:hanging="3680" w:hangingChars="115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p>
    <w:p>
      <w:pPr>
        <w:spacing w:line="120" w:lineRule="auto"/>
        <w:jc w:val="center"/>
        <w:rPr>
          <w:rFonts w:ascii="华文行楷" w:hAnsi="华文行楷" w:eastAsia="华文行楷" w:cs="华文行楷"/>
          <w:bCs/>
          <w:sz w:val="72"/>
          <w:szCs w:val="72"/>
        </w:rPr>
      </w:pPr>
      <w:r>
        <w:rPr>
          <w:rFonts w:hint="eastAsia" w:ascii="华文行楷" w:hAnsi="华文行楷" w:eastAsia="华文行楷" w:cs="华文行楷"/>
          <w:bCs/>
          <w:sz w:val="72"/>
          <w:szCs w:val="72"/>
        </w:rPr>
        <w:t>学位授权点建设年度报告</w:t>
      </w:r>
    </w:p>
    <w:p>
      <w:pPr>
        <w:spacing w:line="120" w:lineRule="auto"/>
        <w:jc w:val="center"/>
        <w:rPr>
          <w:rFonts w:ascii="华文行楷" w:hAnsi="华文行楷" w:eastAsia="华文行楷" w:cs="华文行楷"/>
          <w:bCs/>
          <w:sz w:val="72"/>
          <w:szCs w:val="72"/>
        </w:rPr>
      </w:pPr>
      <w:r>
        <w:rPr>
          <w:rFonts w:hint="eastAsia" w:ascii="华文楷体" w:hAnsi="华文楷体" w:eastAsia="华文楷体" w:cs="华文楷体"/>
          <w:bCs/>
          <w:sz w:val="72"/>
          <w:szCs w:val="72"/>
        </w:rPr>
        <w:t>（</w:t>
      </w:r>
      <w:r>
        <w:rPr>
          <w:rFonts w:eastAsia="华文楷体"/>
          <w:bCs/>
          <w:sz w:val="72"/>
          <w:szCs w:val="72"/>
        </w:rPr>
        <w:t>202</w:t>
      </w:r>
      <w:r>
        <w:rPr>
          <w:rFonts w:hint="eastAsia" w:eastAsia="华文楷体"/>
          <w:bCs/>
          <w:sz w:val="72"/>
          <w:szCs w:val="72"/>
        </w:rPr>
        <w:t>2</w:t>
      </w:r>
      <w:r>
        <w:rPr>
          <w:rFonts w:hint="eastAsia" w:ascii="华文楷体" w:hAnsi="华文楷体" w:eastAsia="华文楷体" w:cs="华文楷体"/>
          <w:bCs/>
          <w:sz w:val="72"/>
          <w:szCs w:val="72"/>
        </w:rPr>
        <w:t>）</w:t>
      </w:r>
    </w:p>
    <w:tbl>
      <w:tblPr>
        <w:tblStyle w:val="13"/>
        <w:tblpPr w:leftFromText="180" w:rightFromText="180" w:vertAnchor="text" w:horzAnchor="page" w:tblpX="3692" w:tblpY="157"/>
        <w:tblOverlap w:val="never"/>
        <w:tblW w:w="50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360" w:lineRule="auto"/>
              <w:jc w:val="right"/>
              <w:rPr>
                <w:rFonts w:ascii="仿宋" w:hAnsi="仿宋" w:eastAsia="仿宋" w:cs="仿宋"/>
                <w:sz w:val="32"/>
                <w:szCs w:val="32"/>
              </w:rPr>
            </w:pPr>
            <w:r>
              <w:rPr>
                <w:rFonts w:hint="eastAsia" w:ascii="仿宋" w:hAnsi="仿宋" w:eastAsia="仿宋" w:cs="仿宋"/>
                <w:sz w:val="32"/>
                <w:szCs w:val="32"/>
              </w:rPr>
              <w:t>学位授予单位</w:t>
            </w:r>
          </w:p>
        </w:tc>
        <w:tc>
          <w:tcPr>
            <w:tcW w:w="2880" w:type="dxa"/>
            <w:tcBorders>
              <w:bottom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名称：吉首大学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360" w:lineRule="auto"/>
              <w:jc w:val="center"/>
              <w:rPr>
                <w:rFonts w:ascii="仿宋" w:hAnsi="仿宋" w:eastAsia="仿宋" w:cs="仿宋"/>
                <w:sz w:val="32"/>
                <w:szCs w:val="32"/>
              </w:rPr>
            </w:pPr>
          </w:p>
        </w:tc>
        <w:tc>
          <w:tcPr>
            <w:tcW w:w="2880" w:type="dxa"/>
            <w:tcBorders>
              <w:top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代码：</w:t>
            </w:r>
            <w:r>
              <w:rPr>
                <w:rFonts w:eastAsia="仿宋"/>
                <w:sz w:val="32"/>
                <w:szCs w:val="32"/>
              </w:rPr>
              <w:t>10531</w:t>
            </w:r>
          </w:p>
        </w:tc>
      </w:tr>
    </w:tbl>
    <w:p>
      <w:pPr>
        <w:widowControl/>
        <w:spacing w:before="468" w:beforeLines="150" w:afterAutospacing="1"/>
        <w:ind w:firstLine="1374" w:firstLineChars="300"/>
        <w:rPr>
          <w:rFonts w:ascii="仿宋" w:hAnsi="仿宋" w:eastAsia="仿宋" w:cs="仿宋"/>
          <w:spacing w:val="69"/>
          <w:kern w:val="0"/>
          <w:position w:val="-15"/>
          <w:sz w:val="32"/>
          <w:szCs w:val="32"/>
          <w:lang w:bidi="ar"/>
        </w:rPr>
      </w:pPr>
    </w:p>
    <w:tbl>
      <w:tblPr>
        <w:tblStyle w:val="13"/>
        <w:tblpPr w:leftFromText="180" w:rightFromText="180" w:vertAnchor="text" w:horzAnchor="page" w:tblpX="3715" w:tblpY="873"/>
        <w:tblOverlap w:val="never"/>
        <w:tblW w:w="50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360" w:lineRule="auto"/>
              <w:jc w:val="right"/>
              <w:rPr>
                <w:rFonts w:ascii="仿宋" w:hAnsi="仿宋" w:eastAsia="仿宋" w:cs="仿宋"/>
                <w:sz w:val="32"/>
                <w:szCs w:val="32"/>
              </w:rPr>
            </w:pPr>
            <w:r>
              <w:rPr>
                <w:rFonts w:hint="eastAsia" w:ascii="仿宋" w:hAnsi="仿宋" w:eastAsia="仿宋" w:cs="仿宋"/>
                <w:sz w:val="32"/>
                <w:szCs w:val="32"/>
              </w:rPr>
              <w:t xml:space="preserve">授 权 学 科 </w:t>
            </w:r>
          </w:p>
        </w:tc>
        <w:tc>
          <w:tcPr>
            <w:tcW w:w="2880" w:type="dxa"/>
            <w:tcBorders>
              <w:bottom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 xml:space="preserve">名称：工商管理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360" w:lineRule="auto"/>
              <w:jc w:val="center"/>
              <w:rPr>
                <w:rFonts w:ascii="仿宋" w:hAnsi="仿宋" w:eastAsia="仿宋" w:cs="仿宋"/>
                <w:sz w:val="32"/>
                <w:szCs w:val="32"/>
              </w:rPr>
            </w:pPr>
          </w:p>
        </w:tc>
        <w:tc>
          <w:tcPr>
            <w:tcW w:w="2880" w:type="dxa"/>
            <w:tcBorders>
              <w:top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代码： 120202</w:t>
            </w:r>
          </w:p>
        </w:tc>
      </w:tr>
    </w:tbl>
    <w:p>
      <w:pPr>
        <w:widowControl/>
        <w:spacing w:before="468" w:beforeLines="150" w:afterAutospacing="1"/>
        <w:ind w:firstLine="1374" w:firstLineChars="300"/>
        <w:rPr>
          <w:rFonts w:ascii="仿宋" w:hAnsi="仿宋" w:eastAsia="仿宋" w:cs="仿宋"/>
          <w:spacing w:val="69"/>
          <w:kern w:val="0"/>
          <w:position w:val="-15"/>
          <w:sz w:val="32"/>
          <w:szCs w:val="32"/>
          <w:lang w:bidi="ar"/>
        </w:rPr>
      </w:pPr>
    </w:p>
    <w:p>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p>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tbl>
      <w:tblPr>
        <w:tblStyle w:val="13"/>
        <w:tblpPr w:leftFromText="180" w:rightFromText="180" w:vertAnchor="text" w:horzAnchor="page" w:tblpX="3670" w:tblpY="36"/>
        <w:tblOverlap w:val="never"/>
        <w:tblW w:w="50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360" w:lineRule="auto"/>
              <w:jc w:val="right"/>
              <w:rPr>
                <w:rFonts w:ascii="仿宋" w:hAnsi="仿宋" w:eastAsia="仿宋" w:cs="仿宋"/>
                <w:sz w:val="32"/>
                <w:szCs w:val="32"/>
              </w:rPr>
            </w:pPr>
            <w:r>
              <w:rPr>
                <w:rFonts w:hint="eastAsia" w:ascii="仿宋" w:hAnsi="仿宋" w:eastAsia="仿宋" w:cs="仿宋"/>
                <w:sz w:val="32"/>
                <w:szCs w:val="32"/>
              </w:rPr>
              <w:t xml:space="preserve">授 权 级 别 </w:t>
            </w:r>
          </w:p>
        </w:tc>
        <w:tc>
          <w:tcPr>
            <w:tcW w:w="2880" w:type="dxa"/>
            <w:tcBorders>
              <w:bottom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pacing w:val="69"/>
                <w:kern w:val="0"/>
                <w:position w:val="-15"/>
                <w:sz w:val="32"/>
                <w:szCs w:val="32"/>
                <w:lang w:bidi="ar"/>
              </w:rPr>
              <w:sym w:font="Wingdings 2" w:char="00A3"/>
            </w:r>
            <w:r>
              <w:rPr>
                <w:rFonts w:hint="eastAsia" w:ascii="仿宋" w:hAnsi="仿宋" w:eastAsia="仿宋" w:cs="仿宋"/>
                <w:spacing w:val="69"/>
                <w:kern w:val="0"/>
                <w:position w:val="-15"/>
                <w:sz w:val="32"/>
                <w:szCs w:val="32"/>
                <w:lang w:bidi="ar"/>
              </w:rPr>
              <w:t>博士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360" w:lineRule="auto"/>
              <w:jc w:val="center"/>
              <w:rPr>
                <w:rFonts w:ascii="仿宋" w:hAnsi="仿宋" w:eastAsia="仿宋" w:cs="仿宋"/>
                <w:sz w:val="32"/>
                <w:szCs w:val="32"/>
              </w:rPr>
            </w:pPr>
          </w:p>
        </w:tc>
        <w:tc>
          <w:tcPr>
            <w:tcW w:w="2880" w:type="dxa"/>
            <w:tcBorders>
              <w:top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sym w:font="Wingdings 2" w:char="0052"/>
            </w:r>
            <w:r>
              <w:rPr>
                <w:rFonts w:hint="eastAsia" w:ascii="仿宋" w:hAnsi="仿宋" w:eastAsia="仿宋" w:cs="仿宋"/>
                <w:sz w:val="32"/>
                <w:szCs w:val="32"/>
              </w:rPr>
              <w:t xml:space="preserve">硕 士 </w:t>
            </w:r>
          </w:p>
        </w:tc>
      </w:tr>
    </w:tbl>
    <w:p>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p>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p>
      <w:pPr>
        <w:widowControl/>
        <w:spacing w:before="243" w:afterAutospacing="1"/>
        <w:ind w:firstLine="2880" w:firstLineChars="900"/>
        <w:jc w:val="left"/>
        <w:rPr>
          <w:rFonts w:ascii="仿宋" w:hAnsi="仿宋" w:eastAsia="仿宋" w:cs="仿宋"/>
          <w:kern w:val="0"/>
          <w:sz w:val="32"/>
          <w:szCs w:val="32"/>
        </w:rPr>
      </w:pPr>
    </w:p>
    <w:p>
      <w:pPr>
        <w:widowControl/>
        <w:spacing w:before="298" w:afterAutospacing="1"/>
        <w:ind w:firstLine="3047"/>
        <w:jc w:val="left"/>
        <w:rPr>
          <w:rFonts w:ascii="仿宋" w:hAnsi="仿宋" w:eastAsia="仿宋" w:cs="仿宋"/>
          <w:kern w:val="0"/>
          <w:sz w:val="32"/>
          <w:szCs w:val="32"/>
        </w:rPr>
      </w:pPr>
      <w:r>
        <w:rPr>
          <w:rFonts w:eastAsia="仿宋"/>
          <w:spacing w:val="-11"/>
          <w:kern w:val="0"/>
          <w:sz w:val="32"/>
          <w:szCs w:val="32"/>
          <w:lang w:bidi="ar"/>
        </w:rPr>
        <w:t>202</w:t>
      </w:r>
      <w:r>
        <w:rPr>
          <w:rFonts w:hint="eastAsia" w:eastAsia="仿宋"/>
          <w:spacing w:val="-11"/>
          <w:kern w:val="0"/>
          <w:sz w:val="32"/>
          <w:szCs w:val="32"/>
          <w:lang w:bidi="ar"/>
        </w:rPr>
        <w:t>2</w:t>
      </w:r>
      <w:r>
        <w:rPr>
          <w:rFonts w:hint="eastAsia" w:ascii="仿宋" w:hAnsi="仿宋" w:eastAsia="仿宋" w:cs="仿宋"/>
          <w:spacing w:val="-11"/>
          <w:kern w:val="0"/>
          <w:sz w:val="32"/>
          <w:szCs w:val="32"/>
          <w:lang w:bidi="ar"/>
        </w:rPr>
        <w:t>年</w:t>
      </w:r>
      <w:r>
        <w:rPr>
          <w:rFonts w:eastAsia="仿宋"/>
          <w:spacing w:val="-11"/>
          <w:kern w:val="0"/>
          <w:sz w:val="32"/>
          <w:szCs w:val="32"/>
          <w:lang w:bidi="ar"/>
        </w:rPr>
        <w:t>12月3</w:t>
      </w:r>
      <w:r>
        <w:rPr>
          <w:rFonts w:hint="eastAsia" w:eastAsia="仿宋"/>
          <w:spacing w:val="-11"/>
          <w:kern w:val="0"/>
          <w:sz w:val="32"/>
          <w:szCs w:val="32"/>
          <w:lang w:bidi="ar"/>
        </w:rPr>
        <w:t>1</w:t>
      </w:r>
      <w:r>
        <w:rPr>
          <w:rFonts w:hint="eastAsia" w:ascii="仿宋" w:hAnsi="仿宋" w:eastAsia="仿宋" w:cs="仿宋"/>
          <w:spacing w:val="-11"/>
          <w:kern w:val="0"/>
          <w:sz w:val="32"/>
          <w:szCs w:val="32"/>
          <w:lang w:bidi="ar"/>
        </w:rPr>
        <w:t>日</w:t>
      </w:r>
    </w:p>
    <w:p>
      <w:pPr>
        <w:spacing w:before="312" w:beforeLines="100" w:after="312" w:afterLines="100"/>
        <w:jc w:val="center"/>
        <w:rPr>
          <w:rFonts w:ascii="黑体" w:hAnsi="黑体" w:eastAsia="黑体" w:cs="黑体"/>
          <w:bCs/>
          <w:sz w:val="44"/>
          <w:szCs w:val="44"/>
        </w:rPr>
      </w:pPr>
      <w:r>
        <w:rPr>
          <w:rFonts w:hint="eastAsia" w:ascii="黑体" w:hAnsi="黑体" w:eastAsia="黑体" w:cs="黑体"/>
          <w:bCs/>
          <w:sz w:val="44"/>
          <w:szCs w:val="44"/>
        </w:rPr>
        <w:t xml:space="preserve"> </w:t>
      </w:r>
    </w:p>
    <w:sdt>
      <w:sdtPr>
        <w:rPr>
          <w:rFonts w:ascii="黑体" w:hAnsi="黑体" w:eastAsia="黑体" w:cs="黑体"/>
          <w:bCs/>
          <w:sz w:val="44"/>
          <w:szCs w:val="44"/>
        </w:rPr>
        <w:id w:val="-2004427876"/>
        <w:docPartObj>
          <w:docPartGallery w:val="Table of Contents"/>
          <w:docPartUnique/>
        </w:docPartObj>
      </w:sdtPr>
      <w:sdtEndPr>
        <w:rPr>
          <w:rFonts w:ascii="Times New Roman" w:hAnsi="Times New Roman" w:eastAsia="宋体" w:cs="Times New Roman"/>
          <w:b/>
          <w:bCs/>
          <w:sz w:val="21"/>
          <w:szCs w:val="20"/>
          <w:lang w:val="zh-CN"/>
        </w:rPr>
      </w:sdtEndPr>
      <w:sdtContent>
        <w:p>
          <w:pPr>
            <w:spacing w:before="312" w:beforeLines="100" w:after="312" w:afterLines="100"/>
            <w:jc w:val="center"/>
          </w:pPr>
          <w:r>
            <w:rPr>
              <w:rFonts w:hint="eastAsia" w:ascii="黑体" w:hAnsi="黑体" w:eastAsia="黑体" w:cs="黑体"/>
              <w:bCs/>
              <w:sz w:val="44"/>
              <w:szCs w:val="44"/>
            </w:rPr>
            <w:t xml:space="preserve">目 </w:t>
          </w:r>
          <w:r>
            <w:rPr>
              <w:rFonts w:ascii="黑体" w:hAnsi="黑体" w:eastAsia="黑体" w:cs="黑体"/>
              <w:bCs/>
              <w:sz w:val="44"/>
              <w:szCs w:val="44"/>
            </w:rPr>
            <w:t xml:space="preserve"> </w:t>
          </w:r>
          <w:r>
            <w:rPr>
              <w:rFonts w:hint="eastAsia" w:ascii="黑体" w:hAnsi="黑体" w:eastAsia="黑体" w:cs="黑体"/>
              <w:bCs/>
              <w:sz w:val="44"/>
              <w:szCs w:val="44"/>
            </w:rPr>
            <w:t>录</w:t>
          </w:r>
        </w:p>
        <w:p>
          <w:pPr>
            <w:pStyle w:val="12"/>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TOC \o "1-3" \h \z \u </w:instrText>
          </w:r>
          <w:r>
            <w:fldChar w:fldCharType="separate"/>
          </w:r>
          <w:r>
            <w:fldChar w:fldCharType="begin"/>
          </w:r>
          <w:r>
            <w:instrText xml:space="preserve"> HYPERLINK \l "_Toc92275532" </w:instrText>
          </w:r>
          <w:r>
            <w:fldChar w:fldCharType="separate"/>
          </w:r>
          <w:r>
            <w:rPr>
              <w:rStyle w:val="16"/>
              <w:rFonts w:ascii="黑体" w:hAnsi="黑体" w:eastAsia="黑体"/>
              <w:color w:val="auto"/>
              <w:sz w:val="24"/>
              <w:szCs w:val="24"/>
            </w:rPr>
            <w:t>一、总体概况</w:t>
          </w:r>
          <w:r>
            <w:rPr>
              <w:sz w:val="24"/>
              <w:szCs w:val="24"/>
            </w:rPr>
            <w:tab/>
          </w:r>
          <w:r>
            <w:rPr>
              <w:sz w:val="24"/>
              <w:szCs w:val="24"/>
            </w:rPr>
            <w:fldChar w:fldCharType="begin"/>
          </w:r>
          <w:r>
            <w:rPr>
              <w:sz w:val="24"/>
              <w:szCs w:val="24"/>
            </w:rPr>
            <w:instrText xml:space="preserve"> PAGEREF _Toc92275532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"_Toc92275533" </w:instrText>
          </w:r>
          <w:r>
            <w:fldChar w:fldCharType="separate"/>
          </w:r>
          <w:r>
            <w:rPr>
              <w:rStyle w:val="16"/>
              <w:rFonts w:eastAsia="仿宋_GB2312"/>
              <w:color w:val="auto"/>
              <w:sz w:val="24"/>
              <w:szCs w:val="24"/>
            </w:rPr>
            <w:t>1.学位授权点基本情况</w:t>
          </w:r>
          <w:r>
            <w:rPr>
              <w:sz w:val="24"/>
              <w:szCs w:val="24"/>
            </w:rPr>
            <w:tab/>
          </w:r>
          <w:r>
            <w:rPr>
              <w:sz w:val="24"/>
              <w:szCs w:val="24"/>
            </w:rPr>
            <w:fldChar w:fldCharType="begin"/>
          </w:r>
          <w:r>
            <w:rPr>
              <w:sz w:val="24"/>
              <w:szCs w:val="24"/>
            </w:rPr>
            <w:instrText xml:space="preserve"> PAGEREF _Toc92275533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"_Toc92275534" </w:instrText>
          </w:r>
          <w:r>
            <w:fldChar w:fldCharType="separate"/>
          </w:r>
          <w:r>
            <w:rPr>
              <w:rStyle w:val="16"/>
              <w:rFonts w:eastAsia="仿宋_GB2312"/>
              <w:color w:val="auto"/>
              <w:sz w:val="24"/>
              <w:szCs w:val="24"/>
            </w:rPr>
            <w:t>2.学位授权点建设情况</w:t>
          </w:r>
          <w:r>
            <w:rPr>
              <w:sz w:val="24"/>
              <w:szCs w:val="24"/>
            </w:rPr>
            <w:tab/>
          </w:r>
          <w:r>
            <w:rPr>
              <w:sz w:val="24"/>
              <w:szCs w:val="24"/>
            </w:rPr>
            <w:fldChar w:fldCharType="begin"/>
          </w:r>
          <w:r>
            <w:rPr>
              <w:sz w:val="24"/>
              <w:szCs w:val="24"/>
            </w:rPr>
            <w:instrText xml:space="preserve"> PAGEREF _Toc92275534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"_Toc92275535" </w:instrText>
          </w:r>
          <w:r>
            <w:fldChar w:fldCharType="separate"/>
          </w:r>
          <w:r>
            <w:rPr>
              <w:rStyle w:val="16"/>
              <w:rFonts w:eastAsia="仿宋_GB2312"/>
              <w:color w:val="auto"/>
              <w:sz w:val="24"/>
              <w:szCs w:val="24"/>
            </w:rPr>
            <w:t>3.研究生招生就业情况</w:t>
          </w:r>
          <w:r>
            <w:rPr>
              <w:sz w:val="24"/>
              <w:szCs w:val="24"/>
            </w:rPr>
            <w:tab/>
          </w:r>
          <w:r>
            <w:rPr>
              <w:sz w:val="24"/>
              <w:szCs w:val="24"/>
            </w:rPr>
            <w:fldChar w:fldCharType="begin"/>
          </w:r>
          <w:r>
            <w:rPr>
              <w:sz w:val="24"/>
              <w:szCs w:val="24"/>
            </w:rPr>
            <w:instrText xml:space="preserve"> PAGEREF _Toc92275535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"_Toc92275536" </w:instrText>
          </w:r>
          <w:r>
            <w:fldChar w:fldCharType="separate"/>
          </w:r>
          <w:r>
            <w:rPr>
              <w:rStyle w:val="16"/>
              <w:rFonts w:eastAsia="仿宋_GB2312"/>
              <w:color w:val="auto"/>
              <w:sz w:val="24"/>
              <w:szCs w:val="24"/>
            </w:rPr>
            <w:t>4.研究生导师状况</w:t>
          </w:r>
          <w:r>
            <w:rPr>
              <w:sz w:val="24"/>
              <w:szCs w:val="24"/>
            </w:rPr>
            <w:tab/>
          </w:r>
          <w:r>
            <w:rPr>
              <w:sz w:val="24"/>
              <w:szCs w:val="24"/>
            </w:rPr>
            <w:fldChar w:fldCharType="begin"/>
          </w:r>
          <w:r>
            <w:rPr>
              <w:sz w:val="24"/>
              <w:szCs w:val="24"/>
            </w:rPr>
            <w:instrText xml:space="preserve"> PAGEREF _Toc92275536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2"/>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"_Toc92275537" </w:instrText>
          </w:r>
          <w:r>
            <w:fldChar w:fldCharType="separate"/>
          </w:r>
          <w:r>
            <w:rPr>
              <w:rStyle w:val="16"/>
              <w:rFonts w:ascii="黑体" w:hAnsi="黑体" w:eastAsia="黑体"/>
              <w:color w:val="auto"/>
              <w:sz w:val="24"/>
              <w:szCs w:val="24"/>
            </w:rPr>
            <w:t>二、研究生党建与思想政治教育工作</w:t>
          </w:r>
          <w:r>
            <w:rPr>
              <w:sz w:val="24"/>
              <w:szCs w:val="24"/>
            </w:rPr>
            <w:tab/>
          </w:r>
          <w:r>
            <w:rPr>
              <w:sz w:val="24"/>
              <w:szCs w:val="24"/>
            </w:rPr>
            <w:fldChar w:fldCharType="begin"/>
          </w:r>
          <w:r>
            <w:rPr>
              <w:sz w:val="24"/>
              <w:szCs w:val="24"/>
            </w:rPr>
            <w:instrText xml:space="preserve"> PAGEREF _Toc92275537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"_Toc92275538" </w:instrText>
          </w:r>
          <w:r>
            <w:fldChar w:fldCharType="separate"/>
          </w:r>
          <w:r>
            <w:rPr>
              <w:rStyle w:val="16"/>
              <w:rFonts w:ascii="仿宋" w:hAnsi="仿宋" w:eastAsia="仿宋"/>
              <w:color w:val="auto"/>
              <w:w w:val="110"/>
              <w:sz w:val="24"/>
              <w:szCs w:val="24"/>
            </w:rPr>
            <w:t>1. 思想政治教育队伍建设</w:t>
          </w:r>
          <w:r>
            <w:rPr>
              <w:sz w:val="24"/>
              <w:szCs w:val="24"/>
            </w:rPr>
            <w:tab/>
          </w:r>
          <w:r>
            <w:rPr>
              <w:sz w:val="24"/>
              <w:szCs w:val="24"/>
            </w:rPr>
            <w:fldChar w:fldCharType="begin"/>
          </w:r>
          <w:r>
            <w:rPr>
              <w:sz w:val="24"/>
              <w:szCs w:val="24"/>
            </w:rPr>
            <w:instrText xml:space="preserve"> PAGEREF _Toc92275538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"_Toc92275539" </w:instrText>
          </w:r>
          <w:r>
            <w:fldChar w:fldCharType="separate"/>
          </w:r>
          <w:r>
            <w:rPr>
              <w:rStyle w:val="16"/>
              <w:rFonts w:ascii="仿宋" w:hAnsi="仿宋" w:eastAsia="仿宋"/>
              <w:color w:val="auto"/>
              <w:w w:val="110"/>
              <w:sz w:val="24"/>
              <w:szCs w:val="24"/>
            </w:rPr>
            <w:t>2. 理想</w:t>
          </w:r>
          <w:r>
            <w:rPr>
              <w:rStyle w:val="16"/>
              <w:rFonts w:eastAsia="仿宋_GB2312"/>
              <w:color w:val="auto"/>
              <w:sz w:val="24"/>
              <w:szCs w:val="24"/>
            </w:rPr>
            <w:t>信念</w:t>
          </w:r>
          <w:r>
            <w:rPr>
              <w:rStyle w:val="16"/>
              <w:rFonts w:ascii="仿宋" w:hAnsi="仿宋" w:eastAsia="仿宋"/>
              <w:color w:val="auto"/>
              <w:w w:val="110"/>
              <w:sz w:val="24"/>
              <w:szCs w:val="24"/>
            </w:rPr>
            <w:t>和社会主义核心价值观教育</w:t>
          </w:r>
          <w:r>
            <w:rPr>
              <w:sz w:val="24"/>
              <w:szCs w:val="24"/>
            </w:rPr>
            <w:tab/>
          </w:r>
          <w:r>
            <w:rPr>
              <w:sz w:val="24"/>
              <w:szCs w:val="24"/>
            </w:rPr>
            <w:fldChar w:fldCharType="begin"/>
          </w:r>
          <w:r>
            <w:rPr>
              <w:sz w:val="24"/>
              <w:szCs w:val="24"/>
            </w:rPr>
            <w:instrText xml:space="preserve"> PAGEREF _Toc92275539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"_Toc92275540" </w:instrText>
          </w:r>
          <w:r>
            <w:fldChar w:fldCharType="separate"/>
          </w:r>
          <w:r>
            <w:rPr>
              <w:rStyle w:val="16"/>
              <w:rFonts w:ascii="仿宋" w:hAnsi="仿宋" w:eastAsia="仿宋"/>
              <w:color w:val="auto"/>
              <w:w w:val="110"/>
              <w:sz w:val="24"/>
              <w:szCs w:val="24"/>
            </w:rPr>
            <w:t>3. 学位点</w:t>
          </w:r>
          <w:r>
            <w:rPr>
              <w:rStyle w:val="16"/>
              <w:rFonts w:eastAsia="仿宋_GB2312"/>
              <w:color w:val="auto"/>
              <w:sz w:val="24"/>
              <w:szCs w:val="24"/>
            </w:rPr>
            <w:t>文化</w:t>
          </w:r>
          <w:r>
            <w:rPr>
              <w:rStyle w:val="16"/>
              <w:rFonts w:ascii="仿宋" w:hAnsi="仿宋" w:eastAsia="仿宋"/>
              <w:color w:val="auto"/>
              <w:w w:val="110"/>
              <w:sz w:val="24"/>
              <w:szCs w:val="24"/>
            </w:rPr>
            <w:t>建设情况</w:t>
          </w:r>
          <w:r>
            <w:rPr>
              <w:sz w:val="24"/>
              <w:szCs w:val="24"/>
            </w:rPr>
            <w:tab/>
          </w:r>
          <w:r>
            <w:rPr>
              <w:sz w:val="24"/>
              <w:szCs w:val="24"/>
            </w:rPr>
            <w:fldChar w:fldCharType="begin"/>
          </w:r>
          <w:r>
            <w:rPr>
              <w:sz w:val="24"/>
              <w:szCs w:val="24"/>
            </w:rPr>
            <w:instrText xml:space="preserve"> PAGEREF _Toc92275540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"_Toc92275541" </w:instrText>
          </w:r>
          <w:r>
            <w:fldChar w:fldCharType="separate"/>
          </w:r>
          <w:r>
            <w:rPr>
              <w:rStyle w:val="16"/>
              <w:rFonts w:ascii="仿宋" w:hAnsi="仿宋" w:eastAsia="仿宋"/>
              <w:color w:val="auto"/>
              <w:w w:val="110"/>
              <w:sz w:val="24"/>
              <w:szCs w:val="24"/>
            </w:rPr>
            <w:t>4. 学位点日常</w:t>
          </w:r>
          <w:r>
            <w:rPr>
              <w:rStyle w:val="16"/>
              <w:rFonts w:eastAsia="仿宋_GB2312"/>
              <w:color w:val="auto"/>
              <w:sz w:val="24"/>
              <w:szCs w:val="24"/>
            </w:rPr>
            <w:t>管理</w:t>
          </w:r>
          <w:r>
            <w:rPr>
              <w:rStyle w:val="16"/>
              <w:rFonts w:ascii="仿宋" w:hAnsi="仿宋" w:eastAsia="仿宋"/>
              <w:color w:val="auto"/>
              <w:w w:val="110"/>
              <w:sz w:val="24"/>
              <w:szCs w:val="24"/>
            </w:rPr>
            <w:t>、服务工作情况</w:t>
          </w:r>
          <w:r>
            <w:rPr>
              <w:sz w:val="24"/>
              <w:szCs w:val="24"/>
            </w:rPr>
            <w:tab/>
          </w:r>
          <w:r>
            <w:rPr>
              <w:sz w:val="24"/>
              <w:szCs w:val="24"/>
            </w:rPr>
            <w:fldChar w:fldCharType="begin"/>
          </w:r>
          <w:r>
            <w:rPr>
              <w:sz w:val="24"/>
              <w:szCs w:val="24"/>
            </w:rPr>
            <w:instrText xml:space="preserve"> PAGEREF _Toc92275541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2"/>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"_Toc92275542" </w:instrText>
          </w:r>
          <w:r>
            <w:fldChar w:fldCharType="separate"/>
          </w:r>
          <w:r>
            <w:rPr>
              <w:rStyle w:val="16"/>
              <w:rFonts w:ascii="黑体" w:hAnsi="黑体" w:eastAsia="黑体"/>
              <w:color w:val="auto"/>
              <w:sz w:val="24"/>
              <w:szCs w:val="24"/>
            </w:rPr>
            <w:t>三、研究生培养相关制度及执行情况</w:t>
          </w:r>
          <w:r>
            <w:rPr>
              <w:sz w:val="24"/>
              <w:szCs w:val="24"/>
            </w:rPr>
            <w:tab/>
          </w:r>
          <w:r>
            <w:rPr>
              <w:sz w:val="24"/>
              <w:szCs w:val="24"/>
            </w:rPr>
            <w:fldChar w:fldCharType="begin"/>
          </w:r>
          <w:r>
            <w:rPr>
              <w:sz w:val="24"/>
              <w:szCs w:val="24"/>
            </w:rPr>
            <w:instrText xml:space="preserve"> PAGEREF _Toc92275542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"_Toc92275543" </w:instrText>
          </w:r>
          <w:r>
            <w:fldChar w:fldCharType="separate"/>
          </w:r>
          <w:r>
            <w:rPr>
              <w:rStyle w:val="16"/>
              <w:rFonts w:ascii="仿宋" w:hAnsi="仿宋" w:eastAsia="仿宋"/>
              <w:color w:val="auto"/>
              <w:w w:val="110"/>
              <w:sz w:val="24"/>
              <w:szCs w:val="24"/>
            </w:rPr>
            <w:t>1. 课程建设与实施情况</w:t>
          </w:r>
          <w:r>
            <w:rPr>
              <w:sz w:val="24"/>
              <w:szCs w:val="24"/>
            </w:rPr>
            <w:tab/>
          </w:r>
          <w:r>
            <w:rPr>
              <w:sz w:val="24"/>
              <w:szCs w:val="24"/>
            </w:rPr>
            <w:fldChar w:fldCharType="begin"/>
          </w:r>
          <w:r>
            <w:rPr>
              <w:sz w:val="24"/>
              <w:szCs w:val="24"/>
            </w:rPr>
            <w:instrText xml:space="preserve"> PAGEREF _Toc92275543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"_Toc92275544" </w:instrText>
          </w:r>
          <w:r>
            <w:fldChar w:fldCharType="separate"/>
          </w:r>
          <w:r>
            <w:rPr>
              <w:rStyle w:val="16"/>
              <w:rFonts w:ascii="仿宋" w:hAnsi="仿宋" w:eastAsia="仿宋"/>
              <w:color w:val="auto"/>
              <w:w w:val="110"/>
              <w:sz w:val="24"/>
              <w:szCs w:val="24"/>
            </w:rPr>
            <w:t>2. 导师选拔与</w:t>
          </w:r>
          <w:r>
            <w:rPr>
              <w:rStyle w:val="16"/>
              <w:rFonts w:eastAsia="仿宋_GB2312"/>
              <w:color w:val="auto"/>
              <w:sz w:val="24"/>
              <w:szCs w:val="24"/>
            </w:rPr>
            <w:t>培训</w:t>
          </w:r>
          <w:r>
            <w:rPr>
              <w:rStyle w:val="16"/>
              <w:rFonts w:ascii="仿宋" w:hAnsi="仿宋" w:eastAsia="仿宋"/>
              <w:color w:val="auto"/>
              <w:w w:val="110"/>
              <w:sz w:val="24"/>
              <w:szCs w:val="24"/>
            </w:rPr>
            <w:t>情况</w:t>
          </w:r>
          <w:r>
            <w:rPr>
              <w:sz w:val="24"/>
              <w:szCs w:val="24"/>
            </w:rPr>
            <w:tab/>
          </w:r>
          <w:r>
            <w:rPr>
              <w:sz w:val="24"/>
              <w:szCs w:val="24"/>
            </w:rPr>
            <w:fldChar w:fldCharType="begin"/>
          </w:r>
          <w:r>
            <w:rPr>
              <w:sz w:val="24"/>
              <w:szCs w:val="24"/>
            </w:rPr>
            <w:instrText xml:space="preserve"> PAGEREF _Toc92275544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"_Toc92275545" </w:instrText>
          </w:r>
          <w:r>
            <w:fldChar w:fldCharType="separate"/>
          </w:r>
          <w:r>
            <w:rPr>
              <w:rStyle w:val="16"/>
              <w:rFonts w:ascii="仿宋" w:hAnsi="仿宋" w:eastAsia="仿宋"/>
              <w:color w:val="auto"/>
              <w:w w:val="110"/>
              <w:sz w:val="24"/>
              <w:szCs w:val="24"/>
            </w:rPr>
            <w:t>3. 师德师风建设情况</w:t>
          </w:r>
          <w:r>
            <w:rPr>
              <w:sz w:val="24"/>
              <w:szCs w:val="24"/>
            </w:rPr>
            <w:tab/>
          </w:r>
          <w:r>
            <w:rPr>
              <w:sz w:val="24"/>
              <w:szCs w:val="24"/>
            </w:rPr>
            <w:fldChar w:fldCharType="begin"/>
          </w:r>
          <w:r>
            <w:rPr>
              <w:sz w:val="24"/>
              <w:szCs w:val="24"/>
            </w:rPr>
            <w:instrText xml:space="preserve"> PAGEREF _Toc92275545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"_Toc92275546" </w:instrText>
          </w:r>
          <w:r>
            <w:fldChar w:fldCharType="separate"/>
          </w:r>
          <w:r>
            <w:rPr>
              <w:rStyle w:val="16"/>
              <w:rFonts w:ascii="仿宋" w:hAnsi="仿宋" w:eastAsia="仿宋"/>
              <w:color w:val="auto"/>
              <w:w w:val="110"/>
              <w:sz w:val="24"/>
              <w:szCs w:val="24"/>
            </w:rPr>
            <w:t>4. 学术</w:t>
          </w:r>
          <w:r>
            <w:rPr>
              <w:rStyle w:val="16"/>
              <w:rFonts w:eastAsia="仿宋_GB2312"/>
              <w:color w:val="auto"/>
              <w:sz w:val="24"/>
              <w:szCs w:val="24"/>
            </w:rPr>
            <w:t>训练</w:t>
          </w:r>
          <w:r>
            <w:rPr>
              <w:rStyle w:val="16"/>
              <w:rFonts w:ascii="仿宋" w:hAnsi="仿宋" w:eastAsia="仿宋"/>
              <w:color w:val="auto"/>
              <w:w w:val="110"/>
              <w:sz w:val="24"/>
              <w:szCs w:val="24"/>
            </w:rPr>
            <w:t>情况</w:t>
          </w:r>
          <w:r>
            <w:rPr>
              <w:sz w:val="24"/>
              <w:szCs w:val="24"/>
            </w:rPr>
            <w:tab/>
          </w:r>
          <w:r>
            <w:rPr>
              <w:sz w:val="24"/>
              <w:szCs w:val="24"/>
            </w:rPr>
            <w:fldChar w:fldCharType="begin"/>
          </w:r>
          <w:r>
            <w:rPr>
              <w:sz w:val="24"/>
              <w:szCs w:val="24"/>
            </w:rPr>
            <w:instrText xml:space="preserve"> PAGEREF _Toc92275546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"_Toc92275547" </w:instrText>
          </w:r>
          <w:r>
            <w:fldChar w:fldCharType="separate"/>
          </w:r>
          <w:r>
            <w:rPr>
              <w:rStyle w:val="16"/>
              <w:rFonts w:ascii="仿宋" w:hAnsi="仿宋" w:eastAsia="仿宋"/>
              <w:color w:val="auto"/>
              <w:w w:val="110"/>
              <w:sz w:val="24"/>
              <w:szCs w:val="24"/>
            </w:rPr>
            <w:t>5. 学术</w:t>
          </w:r>
          <w:r>
            <w:rPr>
              <w:rStyle w:val="16"/>
              <w:rFonts w:eastAsia="仿宋_GB2312"/>
              <w:color w:val="auto"/>
              <w:sz w:val="24"/>
              <w:szCs w:val="24"/>
            </w:rPr>
            <w:t>交流</w:t>
          </w:r>
          <w:r>
            <w:rPr>
              <w:rStyle w:val="16"/>
              <w:rFonts w:ascii="仿宋" w:hAnsi="仿宋" w:eastAsia="仿宋"/>
              <w:color w:val="auto"/>
              <w:w w:val="110"/>
              <w:sz w:val="24"/>
              <w:szCs w:val="24"/>
            </w:rPr>
            <w:t>情况</w:t>
          </w:r>
          <w:r>
            <w:rPr>
              <w:sz w:val="24"/>
              <w:szCs w:val="24"/>
            </w:rPr>
            <w:tab/>
          </w:r>
          <w:r>
            <w:rPr>
              <w:sz w:val="24"/>
              <w:szCs w:val="24"/>
            </w:rPr>
            <w:fldChar w:fldCharType="begin"/>
          </w:r>
          <w:r>
            <w:rPr>
              <w:sz w:val="24"/>
              <w:szCs w:val="24"/>
            </w:rPr>
            <w:instrText xml:space="preserve"> PAGEREF _Toc92275547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"_Toc92275548" </w:instrText>
          </w:r>
          <w:r>
            <w:fldChar w:fldCharType="separate"/>
          </w:r>
          <w:r>
            <w:rPr>
              <w:rStyle w:val="16"/>
              <w:rFonts w:ascii="仿宋" w:hAnsi="仿宋" w:eastAsia="仿宋"/>
              <w:color w:val="auto"/>
              <w:w w:val="110"/>
              <w:sz w:val="24"/>
              <w:szCs w:val="24"/>
            </w:rPr>
            <w:t>6. 研究生奖助情况</w:t>
          </w:r>
          <w:r>
            <w:rPr>
              <w:sz w:val="24"/>
              <w:szCs w:val="24"/>
            </w:rPr>
            <w:tab/>
          </w:r>
          <w:r>
            <w:rPr>
              <w:sz w:val="24"/>
              <w:szCs w:val="24"/>
            </w:rPr>
            <w:fldChar w:fldCharType="begin"/>
          </w:r>
          <w:r>
            <w:rPr>
              <w:sz w:val="24"/>
              <w:szCs w:val="24"/>
            </w:rPr>
            <w:instrText xml:space="preserve"> PAGEREF _Toc92275548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2"/>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"_Toc92275549" </w:instrText>
          </w:r>
          <w:r>
            <w:fldChar w:fldCharType="separate"/>
          </w:r>
          <w:r>
            <w:rPr>
              <w:rStyle w:val="16"/>
              <w:rFonts w:ascii="黑体" w:hAnsi="黑体" w:eastAsia="黑体"/>
              <w:color w:val="auto"/>
              <w:sz w:val="24"/>
              <w:szCs w:val="24"/>
            </w:rPr>
            <w:t>四、研究生教育改革情况</w:t>
          </w:r>
          <w:r>
            <w:rPr>
              <w:sz w:val="24"/>
              <w:szCs w:val="24"/>
            </w:rPr>
            <w:tab/>
          </w:r>
          <w:r>
            <w:rPr>
              <w:sz w:val="24"/>
              <w:szCs w:val="24"/>
            </w:rPr>
            <w:fldChar w:fldCharType="begin"/>
          </w:r>
          <w:r>
            <w:rPr>
              <w:sz w:val="24"/>
              <w:szCs w:val="24"/>
            </w:rPr>
            <w:instrText xml:space="preserve"> PAGEREF _Toc92275549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"_Toc92275550" </w:instrText>
          </w:r>
          <w:r>
            <w:fldChar w:fldCharType="separate"/>
          </w:r>
          <w:r>
            <w:rPr>
              <w:rStyle w:val="16"/>
              <w:rFonts w:ascii="仿宋" w:hAnsi="仿宋" w:eastAsia="仿宋"/>
              <w:color w:val="auto"/>
              <w:w w:val="110"/>
              <w:sz w:val="24"/>
              <w:szCs w:val="24"/>
            </w:rPr>
            <w:t>1. 人才培养情况</w:t>
          </w:r>
          <w:r>
            <w:rPr>
              <w:sz w:val="24"/>
              <w:szCs w:val="24"/>
            </w:rPr>
            <w:tab/>
          </w:r>
          <w:r>
            <w:rPr>
              <w:sz w:val="24"/>
              <w:szCs w:val="24"/>
            </w:rPr>
            <w:fldChar w:fldCharType="begin"/>
          </w:r>
          <w:r>
            <w:rPr>
              <w:sz w:val="24"/>
              <w:szCs w:val="24"/>
            </w:rPr>
            <w:instrText xml:space="preserve"> PAGEREF _Toc92275550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"_Toc92275551" </w:instrText>
          </w:r>
          <w:r>
            <w:fldChar w:fldCharType="separate"/>
          </w:r>
          <w:r>
            <w:rPr>
              <w:rStyle w:val="16"/>
              <w:rFonts w:ascii="仿宋" w:hAnsi="仿宋" w:eastAsia="仿宋"/>
              <w:color w:val="auto"/>
              <w:w w:val="110"/>
              <w:sz w:val="24"/>
              <w:szCs w:val="24"/>
            </w:rPr>
            <w:t>2. 教师队伍</w:t>
          </w:r>
          <w:r>
            <w:rPr>
              <w:rStyle w:val="16"/>
              <w:rFonts w:eastAsia="仿宋_GB2312"/>
              <w:color w:val="auto"/>
              <w:sz w:val="24"/>
              <w:szCs w:val="24"/>
            </w:rPr>
            <w:t>建设</w:t>
          </w:r>
          <w:r>
            <w:rPr>
              <w:rStyle w:val="16"/>
              <w:rFonts w:ascii="仿宋" w:hAnsi="仿宋" w:eastAsia="仿宋"/>
              <w:color w:val="auto"/>
              <w:w w:val="110"/>
              <w:sz w:val="24"/>
              <w:szCs w:val="24"/>
            </w:rPr>
            <w:t>情况</w:t>
          </w:r>
          <w:r>
            <w:rPr>
              <w:sz w:val="24"/>
              <w:szCs w:val="24"/>
            </w:rPr>
            <w:tab/>
          </w:r>
          <w:r>
            <w:rPr>
              <w:sz w:val="24"/>
              <w:szCs w:val="24"/>
            </w:rPr>
            <w:fldChar w:fldCharType="begin"/>
          </w:r>
          <w:r>
            <w:rPr>
              <w:sz w:val="24"/>
              <w:szCs w:val="24"/>
            </w:rPr>
            <w:instrText xml:space="preserve"> PAGEREF _Toc92275551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"_Toc92275552" </w:instrText>
          </w:r>
          <w:r>
            <w:fldChar w:fldCharType="separate"/>
          </w:r>
          <w:r>
            <w:rPr>
              <w:rStyle w:val="16"/>
              <w:rFonts w:ascii="仿宋" w:hAnsi="仿宋" w:eastAsia="仿宋"/>
              <w:color w:val="auto"/>
              <w:w w:val="110"/>
              <w:sz w:val="24"/>
              <w:szCs w:val="24"/>
            </w:rPr>
            <w:t>3. 科学研究</w:t>
          </w:r>
          <w:r>
            <w:rPr>
              <w:rStyle w:val="16"/>
              <w:rFonts w:eastAsia="仿宋_GB2312"/>
              <w:color w:val="auto"/>
              <w:sz w:val="24"/>
              <w:szCs w:val="24"/>
            </w:rPr>
            <w:t>情况</w:t>
          </w:r>
          <w:r>
            <w:rPr>
              <w:sz w:val="24"/>
              <w:szCs w:val="24"/>
            </w:rPr>
            <w:tab/>
          </w:r>
          <w:r>
            <w:rPr>
              <w:sz w:val="24"/>
              <w:szCs w:val="24"/>
            </w:rPr>
            <w:fldChar w:fldCharType="begin"/>
          </w:r>
          <w:r>
            <w:rPr>
              <w:sz w:val="24"/>
              <w:szCs w:val="24"/>
            </w:rPr>
            <w:instrText xml:space="preserve"> PAGEREF _Toc92275552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"_Toc92275553" </w:instrText>
          </w:r>
          <w:r>
            <w:fldChar w:fldCharType="separate"/>
          </w:r>
          <w:r>
            <w:rPr>
              <w:rStyle w:val="16"/>
              <w:rFonts w:ascii="仿宋" w:hAnsi="仿宋" w:eastAsia="仿宋"/>
              <w:color w:val="auto"/>
              <w:w w:val="110"/>
              <w:sz w:val="24"/>
              <w:szCs w:val="24"/>
            </w:rPr>
            <w:t>4. 传承创新优秀学科文化情况</w:t>
          </w:r>
          <w:r>
            <w:rPr>
              <w:sz w:val="24"/>
              <w:szCs w:val="24"/>
            </w:rPr>
            <w:tab/>
          </w:r>
          <w:r>
            <w:rPr>
              <w:sz w:val="24"/>
              <w:szCs w:val="24"/>
            </w:rPr>
            <w:fldChar w:fldCharType="begin"/>
          </w:r>
          <w:r>
            <w:rPr>
              <w:sz w:val="24"/>
              <w:szCs w:val="24"/>
            </w:rPr>
            <w:instrText xml:space="preserve"> PAGEREF _Toc92275553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"_Toc92275554" </w:instrText>
          </w:r>
          <w:r>
            <w:fldChar w:fldCharType="separate"/>
          </w:r>
          <w:r>
            <w:rPr>
              <w:rStyle w:val="16"/>
              <w:rFonts w:ascii="仿宋" w:hAnsi="仿宋" w:eastAsia="仿宋"/>
              <w:color w:val="auto"/>
              <w:w w:val="110"/>
              <w:sz w:val="24"/>
              <w:szCs w:val="24"/>
            </w:rPr>
            <w:t>5.国际交流合作等的改革创新情况</w:t>
          </w:r>
          <w:r>
            <w:rPr>
              <w:sz w:val="24"/>
              <w:szCs w:val="24"/>
            </w:rPr>
            <w:tab/>
          </w:r>
          <w:r>
            <w:rPr>
              <w:sz w:val="24"/>
              <w:szCs w:val="24"/>
            </w:rPr>
            <w:fldChar w:fldCharType="begin"/>
          </w:r>
          <w:r>
            <w:rPr>
              <w:sz w:val="24"/>
              <w:szCs w:val="24"/>
            </w:rPr>
            <w:instrText xml:space="preserve"> PAGEREF _Toc92275554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12"/>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"_Toc92275555" </w:instrText>
          </w:r>
          <w:r>
            <w:fldChar w:fldCharType="separate"/>
          </w:r>
          <w:r>
            <w:rPr>
              <w:rStyle w:val="16"/>
              <w:rFonts w:ascii="黑体" w:hAnsi="黑体" w:eastAsia="黑体"/>
              <w:color w:val="auto"/>
              <w:sz w:val="24"/>
              <w:szCs w:val="24"/>
            </w:rPr>
            <w:t>五、教育质量评估与分析</w:t>
          </w:r>
          <w:r>
            <w:rPr>
              <w:sz w:val="24"/>
              <w:szCs w:val="24"/>
            </w:rPr>
            <w:tab/>
          </w:r>
          <w:r>
            <w:rPr>
              <w:sz w:val="24"/>
              <w:szCs w:val="24"/>
            </w:rPr>
            <w:fldChar w:fldCharType="begin"/>
          </w:r>
          <w:r>
            <w:rPr>
              <w:sz w:val="24"/>
              <w:szCs w:val="24"/>
            </w:rPr>
            <w:instrText xml:space="preserve"> PAGEREF _Toc92275555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"_Toc92275556" </w:instrText>
          </w:r>
          <w:r>
            <w:fldChar w:fldCharType="separate"/>
          </w:r>
          <w:r>
            <w:rPr>
              <w:rStyle w:val="16"/>
              <w:rFonts w:ascii="仿宋" w:hAnsi="仿宋" w:eastAsia="仿宋"/>
              <w:color w:val="auto"/>
              <w:w w:val="110"/>
              <w:sz w:val="24"/>
              <w:szCs w:val="24"/>
            </w:rPr>
            <w:t>1.学位授权点自我评估进展及问题分析</w:t>
          </w:r>
          <w:r>
            <w:rPr>
              <w:sz w:val="24"/>
              <w:szCs w:val="24"/>
            </w:rPr>
            <w:tab/>
          </w:r>
          <w:r>
            <w:rPr>
              <w:sz w:val="24"/>
              <w:szCs w:val="24"/>
            </w:rPr>
            <w:fldChar w:fldCharType="begin"/>
          </w:r>
          <w:r>
            <w:rPr>
              <w:sz w:val="24"/>
              <w:szCs w:val="24"/>
            </w:rPr>
            <w:instrText xml:space="preserve"> PAGEREF _Toc92275556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"_Toc92275557" </w:instrText>
          </w:r>
          <w:r>
            <w:fldChar w:fldCharType="separate"/>
          </w:r>
          <w:r>
            <w:rPr>
              <w:rStyle w:val="16"/>
              <w:rFonts w:ascii="仿宋" w:hAnsi="仿宋" w:eastAsia="仿宋"/>
              <w:color w:val="auto"/>
              <w:w w:val="110"/>
              <w:sz w:val="24"/>
              <w:szCs w:val="24"/>
            </w:rPr>
            <w:t>2.学位论文抽检情况及问题分析</w:t>
          </w:r>
          <w:r>
            <w:rPr>
              <w:sz w:val="24"/>
              <w:szCs w:val="24"/>
            </w:rPr>
            <w:tab/>
          </w:r>
          <w:r>
            <w:rPr>
              <w:sz w:val="24"/>
              <w:szCs w:val="24"/>
            </w:rPr>
            <w:fldChar w:fldCharType="begin"/>
          </w:r>
          <w:r>
            <w:rPr>
              <w:sz w:val="24"/>
              <w:szCs w:val="24"/>
            </w:rPr>
            <w:instrText xml:space="preserve"> PAGEREF _Toc92275557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2"/>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"_Toc92275558" </w:instrText>
          </w:r>
          <w:r>
            <w:fldChar w:fldCharType="separate"/>
          </w:r>
          <w:r>
            <w:rPr>
              <w:rStyle w:val="16"/>
              <w:rFonts w:ascii="黑体" w:hAnsi="黑体" w:eastAsia="黑体"/>
              <w:color w:val="auto"/>
              <w:sz w:val="24"/>
              <w:szCs w:val="24"/>
            </w:rPr>
            <w:t>六、改进措施</w:t>
          </w:r>
          <w:r>
            <w:rPr>
              <w:sz w:val="24"/>
              <w:szCs w:val="24"/>
            </w:rPr>
            <w:tab/>
          </w:r>
          <w:r>
            <w:rPr>
              <w:sz w:val="24"/>
              <w:szCs w:val="24"/>
            </w:rPr>
            <w:fldChar w:fldCharType="begin"/>
          </w:r>
          <w:r>
            <w:rPr>
              <w:sz w:val="24"/>
              <w:szCs w:val="24"/>
            </w:rPr>
            <w:instrText xml:space="preserve"> PAGEREF _Toc92275558 \h </w:instrText>
          </w:r>
          <w:r>
            <w:rPr>
              <w:sz w:val="24"/>
              <w:szCs w:val="24"/>
            </w:rPr>
            <w:fldChar w:fldCharType="separate"/>
          </w:r>
          <w:r>
            <w:rPr>
              <w:sz w:val="24"/>
              <w:szCs w:val="24"/>
            </w:rPr>
            <w:t>19</w:t>
          </w:r>
          <w:r>
            <w:rPr>
              <w:sz w:val="24"/>
              <w:szCs w:val="24"/>
            </w:rPr>
            <w:fldChar w:fldCharType="end"/>
          </w:r>
          <w:r>
            <w:rPr>
              <w:sz w:val="24"/>
              <w:szCs w:val="24"/>
            </w:rPr>
            <w:fldChar w:fldCharType="end"/>
          </w:r>
        </w:p>
        <w:p>
          <w:r>
            <w:rPr>
              <w:b/>
              <w:bCs/>
              <w:lang w:val="zh-CN"/>
            </w:rPr>
            <w:fldChar w:fldCharType="end"/>
          </w:r>
        </w:p>
      </w:sdtContent>
    </w:sdt>
    <w:p>
      <w:pPr>
        <w:spacing w:before="624" w:beforeLines="200" w:after="312" w:afterLines="100"/>
        <w:jc w:val="center"/>
        <w:rPr>
          <w:rFonts w:ascii="黑体" w:hAnsi="黑体" w:eastAsia="黑体" w:cs="黑体"/>
          <w:bCs/>
          <w:sz w:val="44"/>
          <w:szCs w:val="44"/>
        </w:rPr>
      </w:pPr>
      <w:r>
        <w:rPr>
          <w:rFonts w:hint="eastAsia" w:ascii="华文中宋" w:hAnsi="华文中宋" w:eastAsia="华文中宋" w:cs="华文中宋"/>
          <w:bCs/>
          <w:sz w:val="44"/>
          <w:szCs w:val="44"/>
        </w:rPr>
        <w:br w:type="page"/>
      </w:r>
    </w:p>
    <w:p>
      <w:pPr>
        <w:pStyle w:val="5"/>
        <w:snapToGrid w:val="0"/>
        <w:spacing w:before="0" w:after="0" w:line="360" w:lineRule="auto"/>
        <w:rPr>
          <w:rFonts w:ascii="黑体" w:hAnsi="黑体" w:eastAsia="黑体"/>
          <w:b w:val="0"/>
          <w:bCs w:val="0"/>
        </w:rPr>
      </w:pPr>
      <w:bookmarkStart w:id="0" w:name="_Toc92275532"/>
      <w:r>
        <w:rPr>
          <w:rFonts w:hint="eastAsia" w:ascii="黑体" w:hAnsi="黑体" w:eastAsia="黑体"/>
          <w:b w:val="0"/>
          <w:bCs w:val="0"/>
        </w:rPr>
        <w:t>一、总体概况</w:t>
      </w:r>
      <w:bookmarkEnd w:id="0"/>
    </w:p>
    <w:p>
      <w:pPr>
        <w:pStyle w:val="6"/>
        <w:snapToGrid w:val="0"/>
        <w:spacing w:before="0" w:after="0" w:line="360" w:lineRule="auto"/>
        <w:ind w:firstLine="562" w:firstLineChars="200"/>
        <w:rPr>
          <w:rFonts w:ascii="仿宋" w:hAnsi="仿宋" w:eastAsia="仿宋"/>
          <w:sz w:val="28"/>
          <w:szCs w:val="28"/>
        </w:rPr>
      </w:pPr>
      <w:bookmarkStart w:id="1" w:name="_Toc92275533"/>
      <w:r>
        <w:rPr>
          <w:rFonts w:hint="eastAsia" w:ascii="仿宋" w:hAnsi="仿宋" w:eastAsia="仿宋"/>
          <w:sz w:val="28"/>
          <w:szCs w:val="28"/>
        </w:rPr>
        <w:t>1.学位授权点基本情况</w:t>
      </w:r>
      <w:bookmarkEnd w:id="1"/>
    </w:p>
    <w:p>
      <w:pPr>
        <w:pStyle w:val="7"/>
        <w:tabs>
          <w:tab w:val="left" w:pos="8280"/>
        </w:tabs>
        <w:snapToGrid w:val="0"/>
        <w:spacing w:after="0" w:line="360" w:lineRule="auto"/>
        <w:ind w:right="26" w:firstLine="588" w:firstLineChars="200"/>
        <w:rPr>
          <w:rFonts w:ascii="仿宋" w:hAnsi="仿宋" w:eastAsia="仿宋"/>
          <w:spacing w:val="-7"/>
          <w:w w:val="110"/>
          <w:sz w:val="28"/>
          <w:szCs w:val="28"/>
        </w:rPr>
      </w:pPr>
      <w:r>
        <w:rPr>
          <w:rFonts w:hint="eastAsia" w:ascii="仿宋" w:hAnsi="仿宋" w:eastAsia="仿宋"/>
          <w:spacing w:val="-7"/>
          <w:w w:val="110"/>
          <w:sz w:val="28"/>
          <w:szCs w:val="28"/>
        </w:rPr>
        <w:t>吉首大学工商管理是管理学门类的一级学科，学位点相关课程的开设始于1986年，2006年获批企业管理二级学科硕士点，2010年获批工商管理一级学科硕士点。该学科依托“武陵山片区扶贫与发展”湖南省普通高校“2011协同创新中心”、全国普通高校综合改革试点专业“工商管理”、国家特色专业“工商管理”、全国普通高等学校资助建设专业“工商管理”、湖南省一流专业工商管理建设点、湖南省一流专业会计学建设点、湖南省特色专业“工商管理”、湖南省普通高等学校资助建设专业“工商管理”、湖南省普通高校“十二五”专业综合改革试点专业“工商管理”、湖南省特色专业“市场营销”、湖南省首届高校科技创新团队“区域旅游发展与管理”、“民族地区‘两民企业’发展” 湖南省研究生培养创新基地和“村镇银行发展与治理创新</w:t>
      </w:r>
      <w:r>
        <w:rPr>
          <w:rFonts w:ascii="仿宋" w:hAnsi="仿宋" w:eastAsia="仿宋"/>
          <w:spacing w:val="-7"/>
          <w:w w:val="110"/>
          <w:sz w:val="28"/>
          <w:szCs w:val="28"/>
        </w:rPr>
        <w:t>”</w:t>
      </w:r>
      <w:r>
        <w:rPr>
          <w:rFonts w:hint="eastAsia" w:ascii="仿宋" w:hAnsi="仿宋" w:eastAsia="仿宋"/>
          <w:spacing w:val="-7"/>
          <w:w w:val="110"/>
          <w:sz w:val="28"/>
          <w:szCs w:val="28"/>
        </w:rPr>
        <w:t>湖南省研究生培养创新基地，具有较深厚的学科建设基础。</w:t>
      </w:r>
    </w:p>
    <w:p>
      <w:pPr>
        <w:pStyle w:val="7"/>
        <w:tabs>
          <w:tab w:val="left" w:pos="8280"/>
        </w:tabs>
        <w:snapToGrid w:val="0"/>
        <w:spacing w:after="0" w:line="360" w:lineRule="auto"/>
        <w:ind w:right="26" w:firstLine="588" w:firstLineChars="200"/>
        <w:rPr>
          <w:rFonts w:ascii="仿宋" w:hAnsi="仿宋" w:eastAsia="仿宋"/>
          <w:spacing w:val="-7"/>
          <w:w w:val="110"/>
          <w:sz w:val="28"/>
          <w:szCs w:val="28"/>
        </w:rPr>
      </w:pPr>
      <w:r>
        <w:rPr>
          <w:rFonts w:hint="eastAsia" w:ascii="仿宋" w:hAnsi="仿宋" w:eastAsia="仿宋"/>
          <w:spacing w:val="-7"/>
          <w:w w:val="110"/>
          <w:sz w:val="28"/>
          <w:szCs w:val="28"/>
        </w:rPr>
        <w:t>学位点立足于服务西部地区、民族地区经济社会发展，建成企业管理、旅游管理、会计学（含MPACC）和技术经济及管理四个学科方向，是武陵山片区学科实力最强、影响最大的工商管理学科。学位点依托的工商管理本科专业为全国普通高校综合改革试点专业、国家特色专业、全国普通高等学校资助建设专业，旅游管理专业为国家级一流本科专业建设点，工商管理专业和会计学专业为湖南省一流本科专业建设点。学位点为西部地区经济社会发展培养了一批能够从基层做起、独挡一面的“下得去、留得住、用得上、有发展”的工商管理高级专门人才。</w:t>
      </w:r>
    </w:p>
    <w:p>
      <w:pPr>
        <w:pStyle w:val="12"/>
        <w:tabs>
          <w:tab w:val="right" w:leader="middleDot" w:pos="8504"/>
        </w:tabs>
        <w:snapToGrid w:val="0"/>
        <w:spacing w:line="360" w:lineRule="auto"/>
        <w:ind w:left="0" w:leftChars="0" w:firstLine="588" w:firstLineChars="200"/>
        <w:rPr>
          <w:rFonts w:ascii="仿宋" w:hAnsi="仿宋" w:eastAsia="仿宋"/>
          <w:spacing w:val="-7"/>
          <w:w w:val="110"/>
          <w:sz w:val="28"/>
          <w:szCs w:val="28"/>
        </w:rPr>
      </w:pPr>
      <w:r>
        <w:rPr>
          <w:rFonts w:hint="eastAsia" w:ascii="仿宋" w:hAnsi="仿宋" w:eastAsia="仿宋"/>
          <w:spacing w:val="-7"/>
          <w:w w:val="110"/>
          <w:sz w:val="28"/>
          <w:szCs w:val="28"/>
        </w:rPr>
        <w:t>本年度</w:t>
      </w:r>
      <w:r>
        <w:rPr>
          <w:rFonts w:hint="eastAsia" w:ascii="仿宋" w:hAnsi="仿宋" w:eastAsia="仿宋"/>
          <w:sz w:val="28"/>
          <w:szCs w:val="28"/>
        </w:rPr>
        <w:t>学位点对培养方案进行了大修，2</w:t>
      </w:r>
      <w:r>
        <w:rPr>
          <w:rFonts w:ascii="仿宋" w:hAnsi="仿宋" w:eastAsia="仿宋"/>
          <w:sz w:val="28"/>
          <w:szCs w:val="28"/>
        </w:rPr>
        <w:t>022</w:t>
      </w:r>
      <w:r>
        <w:rPr>
          <w:rFonts w:hint="eastAsia" w:ascii="仿宋" w:hAnsi="仿宋" w:eastAsia="仿宋"/>
          <w:sz w:val="28"/>
          <w:szCs w:val="28"/>
        </w:rPr>
        <w:t>级开始使用新的培养方案。经过参阅其他高校的培养方案，聘请专家进行多轮的研究讨论，学位点对课程设置进行了更新，增加了数字经济相关课程。同时对人才培养环节进行了优化，并完善了学位授予条件，更好的保障了人才培养质量。</w:t>
      </w:r>
    </w:p>
    <w:p>
      <w:pPr>
        <w:pStyle w:val="6"/>
        <w:snapToGrid w:val="0"/>
        <w:spacing w:before="0" w:after="0" w:line="360" w:lineRule="auto"/>
        <w:ind w:firstLine="562" w:firstLineChars="200"/>
        <w:rPr>
          <w:rFonts w:ascii="仿宋" w:hAnsi="仿宋" w:eastAsia="仿宋"/>
          <w:sz w:val="28"/>
          <w:szCs w:val="28"/>
        </w:rPr>
      </w:pPr>
      <w:bookmarkStart w:id="2" w:name="_Toc92275534"/>
      <w:r>
        <w:rPr>
          <w:rFonts w:hint="eastAsia" w:ascii="仿宋" w:hAnsi="仿宋" w:eastAsia="仿宋"/>
          <w:sz w:val="28"/>
          <w:szCs w:val="28"/>
        </w:rPr>
        <w:t>2.学位授权点建设情况</w:t>
      </w:r>
      <w:bookmarkEnd w:id="2"/>
    </w:p>
    <w:p>
      <w:pPr>
        <w:pStyle w:val="7"/>
        <w:tabs>
          <w:tab w:val="left" w:pos="8280"/>
        </w:tabs>
        <w:snapToGrid w:val="0"/>
        <w:spacing w:after="0" w:line="360" w:lineRule="auto"/>
        <w:ind w:right="26" w:firstLine="588" w:firstLineChars="200"/>
        <w:rPr>
          <w:rFonts w:ascii="仿宋" w:hAnsi="仿宋" w:eastAsia="仿宋"/>
          <w:spacing w:val="-7"/>
          <w:w w:val="110"/>
          <w:sz w:val="28"/>
          <w:szCs w:val="28"/>
        </w:rPr>
      </w:pPr>
      <w:bookmarkStart w:id="3" w:name="_Hlk92204189"/>
      <w:bookmarkStart w:id="4" w:name="_Hlk92128517"/>
      <w:r>
        <w:rPr>
          <w:rFonts w:hint="eastAsia" w:ascii="仿宋" w:hAnsi="仿宋" w:eastAsia="仿宋"/>
          <w:spacing w:val="-7"/>
          <w:w w:val="110"/>
          <w:sz w:val="28"/>
          <w:szCs w:val="28"/>
        </w:rPr>
        <w:t>学位点以中青年学术科研人员为主，在多年的教学和科研工作中，积累了丰富的研究生培养经验，培养了一批杰出的高层次人才，承担完成了一系列国家、省部级和企业委托科研项目，研究经费充足，获得了一系列省部级科研和教学成果，整体水平处于省内高校前列。学位点目前有四个研究方向：</w:t>
      </w:r>
    </w:p>
    <w:p>
      <w:pPr>
        <w:pStyle w:val="7"/>
        <w:tabs>
          <w:tab w:val="left" w:pos="8280"/>
        </w:tabs>
        <w:snapToGrid w:val="0"/>
        <w:spacing w:after="0" w:line="360" w:lineRule="auto"/>
        <w:ind w:right="26" w:firstLine="588" w:firstLineChars="200"/>
        <w:rPr>
          <w:rFonts w:ascii="仿宋" w:hAnsi="仿宋" w:eastAsia="仿宋"/>
          <w:spacing w:val="-7"/>
          <w:w w:val="110"/>
          <w:sz w:val="28"/>
          <w:szCs w:val="28"/>
        </w:rPr>
      </w:pPr>
      <w:r>
        <w:rPr>
          <w:rFonts w:hint="eastAsia" w:ascii="仿宋" w:hAnsi="仿宋" w:eastAsia="仿宋"/>
          <w:spacing w:val="-7"/>
          <w:w w:val="110"/>
          <w:sz w:val="28"/>
          <w:szCs w:val="28"/>
        </w:rPr>
        <w:t>（1）企业管理。</w:t>
      </w:r>
      <w:bookmarkStart w:id="5" w:name="_Hlk92457904"/>
      <w:r>
        <w:rPr>
          <w:rFonts w:hint="eastAsia" w:ascii="仿宋" w:hAnsi="仿宋" w:eastAsia="仿宋"/>
          <w:spacing w:val="-7"/>
          <w:w w:val="110"/>
          <w:sz w:val="28"/>
          <w:szCs w:val="28"/>
        </w:rPr>
        <w:t>该</w:t>
      </w:r>
      <w:bookmarkEnd w:id="5"/>
      <w:r>
        <w:rPr>
          <w:rFonts w:hint="eastAsia" w:ascii="仿宋" w:hAnsi="仿宋" w:eastAsia="仿宋"/>
          <w:spacing w:val="-7"/>
          <w:w w:val="110"/>
          <w:sz w:val="28"/>
          <w:szCs w:val="28"/>
        </w:rPr>
        <w:t>方向主要围绕企业管理中的相关问题展开研究，主要内容包括战略管理、市场营销、人力资源管理、风险管理、组织行为等，并结合西部地区实际研究商业模式、中小企业管理、企业创新等专题问题。</w:t>
      </w:r>
    </w:p>
    <w:p>
      <w:pPr>
        <w:pStyle w:val="7"/>
        <w:tabs>
          <w:tab w:val="left" w:pos="8280"/>
        </w:tabs>
        <w:snapToGrid w:val="0"/>
        <w:spacing w:after="0" w:line="360" w:lineRule="auto"/>
        <w:ind w:right="26" w:firstLine="588" w:firstLineChars="200"/>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2</w:t>
      </w:r>
      <w:r>
        <w:rPr>
          <w:rFonts w:hint="eastAsia" w:ascii="仿宋" w:hAnsi="仿宋" w:eastAsia="仿宋"/>
          <w:spacing w:val="-7"/>
          <w:w w:val="110"/>
          <w:sz w:val="28"/>
          <w:szCs w:val="28"/>
        </w:rPr>
        <w:t>）旅游管理。该方向主要围绕旅游领域中的相关问题展开研究，主要内容包括旅游发展战略、旅游目的地管理、旅游市场营销、旅游人力资源管理、旅游企业运营等问题，并结合西部地区发展实际研究旅游合作博弈、旅游行为、旅游业态产品开发等专题问题。</w:t>
      </w:r>
    </w:p>
    <w:p>
      <w:pPr>
        <w:pStyle w:val="7"/>
        <w:tabs>
          <w:tab w:val="left" w:pos="8280"/>
        </w:tabs>
        <w:snapToGrid w:val="0"/>
        <w:spacing w:after="0" w:line="360" w:lineRule="auto"/>
        <w:ind w:right="26" w:firstLine="588" w:firstLineChars="200"/>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3</w:t>
      </w:r>
      <w:r>
        <w:rPr>
          <w:rFonts w:hint="eastAsia" w:ascii="仿宋" w:hAnsi="仿宋" w:eastAsia="仿宋"/>
          <w:spacing w:val="-7"/>
          <w:w w:val="110"/>
          <w:sz w:val="28"/>
          <w:szCs w:val="28"/>
        </w:rPr>
        <w:t>）会计学。该</w:t>
      </w:r>
      <w:r>
        <w:rPr>
          <w:rFonts w:ascii="仿宋" w:hAnsi="仿宋" w:eastAsia="仿宋"/>
          <w:spacing w:val="-7"/>
          <w:w w:val="110"/>
          <w:sz w:val="28"/>
          <w:szCs w:val="28"/>
        </w:rPr>
        <w:t>方向</w:t>
      </w:r>
      <w:r>
        <w:rPr>
          <w:rFonts w:hint="eastAsia" w:ascii="仿宋" w:hAnsi="仿宋" w:eastAsia="仿宋"/>
          <w:spacing w:val="-7"/>
          <w:w w:val="110"/>
          <w:sz w:val="28"/>
          <w:szCs w:val="28"/>
        </w:rPr>
        <w:t>主要围绕会计领域中的相关问题展开研究，主要内容包括财务会计、管理会计</w:t>
      </w:r>
      <w:r>
        <w:rPr>
          <w:rFonts w:ascii="仿宋" w:hAnsi="仿宋" w:eastAsia="仿宋"/>
          <w:spacing w:val="-7"/>
          <w:w w:val="110"/>
          <w:sz w:val="28"/>
          <w:szCs w:val="28"/>
        </w:rPr>
        <w:t>、</w:t>
      </w:r>
      <w:r>
        <w:rPr>
          <w:rFonts w:hint="eastAsia" w:ascii="仿宋" w:hAnsi="仿宋" w:eastAsia="仿宋"/>
          <w:spacing w:val="-7"/>
          <w:w w:val="110"/>
          <w:sz w:val="28"/>
          <w:szCs w:val="28"/>
        </w:rPr>
        <w:t>企业审计、</w:t>
      </w:r>
      <w:r>
        <w:rPr>
          <w:rFonts w:ascii="仿宋" w:hAnsi="仿宋" w:eastAsia="仿宋"/>
          <w:spacing w:val="-7"/>
          <w:w w:val="110"/>
          <w:sz w:val="28"/>
          <w:szCs w:val="28"/>
        </w:rPr>
        <w:t>公共财务与政府会计</w:t>
      </w:r>
      <w:r>
        <w:rPr>
          <w:rFonts w:hint="eastAsia" w:ascii="仿宋" w:hAnsi="仿宋" w:eastAsia="仿宋"/>
          <w:spacing w:val="-7"/>
          <w:w w:val="110"/>
          <w:sz w:val="28"/>
          <w:szCs w:val="28"/>
        </w:rPr>
        <w:t>等会计问题，以及</w:t>
      </w:r>
      <w:r>
        <w:rPr>
          <w:rFonts w:ascii="仿宋" w:hAnsi="仿宋" w:eastAsia="仿宋"/>
          <w:spacing w:val="-7"/>
          <w:w w:val="110"/>
          <w:sz w:val="28"/>
          <w:szCs w:val="28"/>
        </w:rPr>
        <w:t>财务管理</w:t>
      </w:r>
      <w:r>
        <w:rPr>
          <w:rFonts w:hint="eastAsia" w:ascii="仿宋" w:hAnsi="仿宋" w:eastAsia="仿宋"/>
          <w:spacing w:val="-7"/>
          <w:w w:val="110"/>
          <w:sz w:val="28"/>
          <w:szCs w:val="28"/>
        </w:rPr>
        <w:t>、资本运营、</w:t>
      </w:r>
      <w:r>
        <w:rPr>
          <w:rFonts w:ascii="仿宋" w:hAnsi="仿宋" w:eastAsia="仿宋"/>
          <w:spacing w:val="-7"/>
          <w:w w:val="110"/>
          <w:sz w:val="28"/>
          <w:szCs w:val="28"/>
        </w:rPr>
        <w:t>内部控制、风险</w:t>
      </w:r>
      <w:r>
        <w:rPr>
          <w:rFonts w:hint="eastAsia" w:ascii="仿宋" w:hAnsi="仿宋" w:eastAsia="仿宋"/>
          <w:spacing w:val="-7"/>
          <w:w w:val="110"/>
          <w:sz w:val="28"/>
          <w:szCs w:val="28"/>
        </w:rPr>
        <w:t>管理、公司</w:t>
      </w:r>
      <w:r>
        <w:rPr>
          <w:rFonts w:ascii="仿宋" w:hAnsi="仿宋" w:eastAsia="仿宋"/>
          <w:spacing w:val="-7"/>
          <w:w w:val="110"/>
          <w:sz w:val="28"/>
          <w:szCs w:val="28"/>
        </w:rPr>
        <w:t>治理</w:t>
      </w:r>
      <w:r>
        <w:rPr>
          <w:rFonts w:hint="eastAsia" w:ascii="仿宋" w:hAnsi="仿宋" w:eastAsia="仿宋"/>
          <w:spacing w:val="-7"/>
          <w:w w:val="110"/>
          <w:sz w:val="28"/>
          <w:szCs w:val="28"/>
        </w:rPr>
        <w:t>等财务问题，并结合西部地区实际研究环境会计等专题问题。</w:t>
      </w:r>
    </w:p>
    <w:p>
      <w:pPr>
        <w:pStyle w:val="7"/>
        <w:tabs>
          <w:tab w:val="left" w:pos="8280"/>
        </w:tabs>
        <w:snapToGrid w:val="0"/>
        <w:spacing w:after="0" w:line="360" w:lineRule="auto"/>
        <w:ind w:right="26" w:firstLine="588" w:firstLineChars="200"/>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4</w:t>
      </w:r>
      <w:r>
        <w:rPr>
          <w:rFonts w:hint="eastAsia" w:ascii="仿宋" w:hAnsi="仿宋" w:eastAsia="仿宋"/>
          <w:spacing w:val="-7"/>
          <w:w w:val="110"/>
          <w:sz w:val="28"/>
          <w:szCs w:val="28"/>
        </w:rPr>
        <w:t>）技术经济及管理。该</w:t>
      </w:r>
      <w:r>
        <w:rPr>
          <w:rFonts w:ascii="仿宋" w:hAnsi="仿宋" w:eastAsia="仿宋"/>
          <w:spacing w:val="-7"/>
          <w:w w:val="110"/>
          <w:sz w:val="28"/>
          <w:szCs w:val="28"/>
        </w:rPr>
        <w:t>方向</w:t>
      </w:r>
      <w:r>
        <w:rPr>
          <w:rFonts w:hint="eastAsia" w:ascii="仿宋" w:hAnsi="仿宋" w:eastAsia="仿宋"/>
          <w:spacing w:val="-7"/>
          <w:w w:val="110"/>
          <w:sz w:val="28"/>
          <w:szCs w:val="28"/>
        </w:rPr>
        <w:t>主要围绕技术经济及管理领域中的相关问题展开研究，主要内容包括技术经济理论、</w:t>
      </w:r>
      <w:r>
        <w:rPr>
          <w:rFonts w:ascii="仿宋" w:hAnsi="仿宋" w:eastAsia="仿宋"/>
          <w:spacing w:val="-7"/>
          <w:w w:val="110"/>
          <w:sz w:val="28"/>
          <w:szCs w:val="28"/>
        </w:rPr>
        <w:t>区域资源优化配置</w:t>
      </w:r>
      <w:r>
        <w:rPr>
          <w:rFonts w:hint="eastAsia" w:ascii="仿宋" w:hAnsi="仿宋" w:eastAsia="仿宋"/>
          <w:spacing w:val="-7"/>
          <w:w w:val="110"/>
          <w:sz w:val="28"/>
          <w:szCs w:val="28"/>
        </w:rPr>
        <w:t>、</w:t>
      </w:r>
      <w:r>
        <w:rPr>
          <w:rFonts w:ascii="仿宋" w:hAnsi="仿宋" w:eastAsia="仿宋"/>
          <w:spacing w:val="-7"/>
          <w:w w:val="110"/>
          <w:sz w:val="28"/>
          <w:szCs w:val="28"/>
        </w:rPr>
        <w:t>评价理论与方法、经济政策绩效评价、技术创新与管理</w:t>
      </w:r>
      <w:r>
        <w:rPr>
          <w:rFonts w:hint="eastAsia" w:ascii="仿宋" w:hAnsi="仿宋" w:eastAsia="仿宋"/>
          <w:spacing w:val="-7"/>
          <w:w w:val="110"/>
          <w:sz w:val="28"/>
          <w:szCs w:val="28"/>
        </w:rPr>
        <w:t>等问题，并结合西部地区实际研究特殊地区的技术创新和</w:t>
      </w:r>
      <w:r>
        <w:rPr>
          <w:rFonts w:ascii="仿宋" w:hAnsi="仿宋" w:eastAsia="仿宋"/>
          <w:spacing w:val="-7"/>
          <w:w w:val="110"/>
          <w:sz w:val="28"/>
          <w:szCs w:val="28"/>
        </w:rPr>
        <w:t>创业管理</w:t>
      </w:r>
      <w:r>
        <w:rPr>
          <w:rFonts w:hint="eastAsia" w:ascii="仿宋" w:hAnsi="仿宋" w:eastAsia="仿宋"/>
          <w:spacing w:val="-7"/>
          <w:w w:val="110"/>
          <w:sz w:val="28"/>
          <w:szCs w:val="28"/>
        </w:rPr>
        <w:t>等专题问题</w:t>
      </w:r>
      <w:r>
        <w:rPr>
          <w:rFonts w:ascii="仿宋" w:hAnsi="仿宋" w:eastAsia="仿宋"/>
          <w:spacing w:val="-7"/>
          <w:w w:val="110"/>
          <w:sz w:val="28"/>
          <w:szCs w:val="28"/>
        </w:rPr>
        <w:t>。</w:t>
      </w:r>
    </w:p>
    <w:p>
      <w:pPr>
        <w:pStyle w:val="2"/>
        <w:snapToGrid w:val="0"/>
        <w:spacing w:after="0" w:line="360" w:lineRule="auto"/>
        <w:ind w:left="0" w:leftChars="0"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学位点积极到省内外高校考察和交流合作，</w:t>
      </w:r>
      <w:bookmarkEnd w:id="3"/>
      <w:r>
        <w:rPr>
          <w:rFonts w:hint="eastAsia" w:ascii="仿宋" w:hAnsi="仿宋" w:eastAsia="仿宋"/>
          <w:spacing w:val="-7"/>
          <w:w w:val="110"/>
          <w:sz w:val="28"/>
          <w:szCs w:val="28"/>
        </w:rPr>
        <w:t>提升人才培养质量。学位点积极与湖南大学工商管理学院、南华大学经济管理与法学学院、湖南农业大学商学院、湖南科技大学商学院等进行人才培养与学科建设的学习交流。2</w:t>
      </w:r>
      <w:r>
        <w:rPr>
          <w:rFonts w:ascii="仿宋" w:hAnsi="仿宋" w:eastAsia="仿宋"/>
          <w:spacing w:val="-7"/>
          <w:w w:val="110"/>
          <w:sz w:val="28"/>
          <w:szCs w:val="28"/>
        </w:rPr>
        <w:t>022</w:t>
      </w:r>
      <w:r>
        <w:rPr>
          <w:rFonts w:hint="eastAsia" w:ascii="仿宋" w:hAnsi="仿宋" w:eastAsia="仿宋"/>
          <w:spacing w:val="-7"/>
          <w:w w:val="110"/>
          <w:sz w:val="28"/>
          <w:szCs w:val="28"/>
        </w:rPr>
        <w:t>年学位点积极参加了湖南省教育厅举办的各种学位点建设活动，工商管理论坛以及会计论坛。6月25日，丁建军、龙海军、张琰飞等学位点导师参加了在南华大学举办的第五届湖南省工商管理学科院长（系主任）论坛。10月22日，丁建军、张霞等导师参加了在湖南农业大学举行的2022年湖南省高校会计学科院长（系主任）论坛。</w:t>
      </w:r>
    </w:p>
    <w:bookmarkEnd w:id="4"/>
    <w:p>
      <w:pPr>
        <w:pStyle w:val="6"/>
        <w:snapToGrid w:val="0"/>
        <w:spacing w:before="0" w:after="0" w:line="360" w:lineRule="auto"/>
        <w:ind w:firstLine="562" w:firstLineChars="200"/>
        <w:rPr>
          <w:rFonts w:ascii="仿宋" w:hAnsi="仿宋" w:eastAsia="仿宋"/>
          <w:sz w:val="28"/>
          <w:szCs w:val="28"/>
        </w:rPr>
      </w:pPr>
      <w:bookmarkStart w:id="6" w:name="_Toc92275535"/>
      <w:bookmarkStart w:id="7" w:name="_Hlk92273217"/>
      <w:r>
        <w:rPr>
          <w:rFonts w:hint="eastAsia" w:ascii="仿宋" w:hAnsi="仿宋" w:eastAsia="仿宋"/>
          <w:sz w:val="28"/>
          <w:szCs w:val="28"/>
        </w:rPr>
        <w:t>3.研究生招生就业情况</w:t>
      </w:r>
      <w:bookmarkEnd w:id="6"/>
    </w:p>
    <w:bookmarkEnd w:id="7"/>
    <w:p>
      <w:pPr>
        <w:snapToGrid w:val="0"/>
        <w:spacing w:line="360" w:lineRule="auto"/>
        <w:ind w:firstLine="588" w:firstLineChars="200"/>
      </w:pPr>
      <w:bookmarkStart w:id="8" w:name="_Hlk92273347"/>
      <w:r>
        <w:rPr>
          <w:rFonts w:hint="eastAsia" w:ascii="仿宋" w:hAnsi="仿宋" w:eastAsia="仿宋"/>
          <w:spacing w:val="-7"/>
          <w:w w:val="110"/>
          <w:sz w:val="28"/>
          <w:szCs w:val="28"/>
        </w:rPr>
        <w:t>积极进行招生宣传活动，发布了多项研究生招生和调剂的微信推文，</w:t>
      </w:r>
      <w:bookmarkEnd w:id="8"/>
      <w:r>
        <w:rPr>
          <w:rFonts w:hint="eastAsia" w:ascii="仿宋" w:hAnsi="仿宋" w:eastAsia="仿宋"/>
          <w:spacing w:val="-7"/>
          <w:w w:val="110"/>
          <w:sz w:val="28"/>
          <w:szCs w:val="28"/>
        </w:rPr>
        <w:t>本年度共招生14名研究生，现有在校研究生数量为41名（表1）。2</w:t>
      </w:r>
      <w:r>
        <w:rPr>
          <w:rFonts w:ascii="仿宋" w:hAnsi="仿宋" w:eastAsia="仿宋"/>
          <w:spacing w:val="-7"/>
          <w:w w:val="110"/>
          <w:sz w:val="28"/>
          <w:szCs w:val="28"/>
        </w:rPr>
        <w:t>022</w:t>
      </w:r>
      <w:r>
        <w:rPr>
          <w:rFonts w:hint="eastAsia" w:ascii="仿宋" w:hAnsi="仿宋" w:eastAsia="仿宋"/>
          <w:spacing w:val="-7"/>
          <w:w w:val="110"/>
          <w:sz w:val="28"/>
          <w:szCs w:val="28"/>
        </w:rPr>
        <w:t>年毕业研究生</w:t>
      </w:r>
      <w:r>
        <w:rPr>
          <w:rFonts w:ascii="仿宋" w:hAnsi="仿宋" w:eastAsia="仿宋"/>
          <w:spacing w:val="-7"/>
          <w:w w:val="110"/>
          <w:sz w:val="28"/>
          <w:szCs w:val="28"/>
        </w:rPr>
        <w:t>1</w:t>
      </w:r>
      <w:r>
        <w:rPr>
          <w:rFonts w:hint="eastAsia" w:ascii="仿宋" w:hAnsi="仿宋" w:eastAsia="仿宋"/>
          <w:spacing w:val="-7"/>
          <w:w w:val="110"/>
          <w:sz w:val="28"/>
          <w:szCs w:val="28"/>
        </w:rPr>
        <w:t>3名，授予学位</w:t>
      </w:r>
      <w:r>
        <w:rPr>
          <w:rFonts w:ascii="仿宋" w:hAnsi="仿宋" w:eastAsia="仿宋"/>
          <w:spacing w:val="-7"/>
          <w:w w:val="110"/>
          <w:sz w:val="28"/>
          <w:szCs w:val="28"/>
        </w:rPr>
        <w:t>1</w:t>
      </w:r>
      <w:r>
        <w:rPr>
          <w:rFonts w:hint="eastAsia" w:ascii="仿宋" w:hAnsi="仿宋" w:eastAsia="仿宋"/>
          <w:spacing w:val="-7"/>
          <w:w w:val="110"/>
          <w:sz w:val="28"/>
          <w:szCs w:val="28"/>
        </w:rPr>
        <w:t>3名，因疫情影响本</w:t>
      </w:r>
      <w:r>
        <w:rPr>
          <w:rFonts w:hint="eastAsia" w:ascii="仿宋" w:hAnsi="仿宋" w:eastAsia="仿宋"/>
          <w:spacing w:val="-7"/>
          <w:w w:val="110"/>
          <w:sz w:val="28"/>
          <w:szCs w:val="28"/>
          <w:lang w:val="en-US" w:eastAsia="zh-CN"/>
        </w:rPr>
        <w:t>年</w:t>
      </w:r>
      <w:r>
        <w:rPr>
          <w:rFonts w:hint="eastAsia" w:ascii="仿宋" w:hAnsi="仿宋" w:eastAsia="仿宋"/>
          <w:spacing w:val="-7"/>
          <w:w w:val="110"/>
          <w:sz w:val="28"/>
          <w:szCs w:val="28"/>
        </w:rPr>
        <w:t>度已毕业研究生仅实现一次就业率62%（表2）。</w:t>
      </w:r>
    </w:p>
    <w:p>
      <w:pPr>
        <w:snapToGrid w:val="0"/>
        <w:spacing w:line="360" w:lineRule="auto"/>
        <w:ind w:firstLine="500" w:firstLineChars="200"/>
        <w:jc w:val="center"/>
        <w:rPr>
          <w:rFonts w:ascii="仿宋" w:hAnsi="仿宋" w:eastAsia="仿宋"/>
          <w:spacing w:val="-7"/>
          <w:w w:val="110"/>
          <w:sz w:val="24"/>
          <w:szCs w:val="24"/>
        </w:rPr>
      </w:pPr>
      <w:bookmarkStart w:id="9" w:name="_Hlk92456846"/>
      <w:r>
        <w:rPr>
          <w:rFonts w:hint="eastAsia" w:ascii="仿宋" w:hAnsi="仿宋" w:eastAsia="仿宋"/>
          <w:spacing w:val="-7"/>
          <w:w w:val="110"/>
          <w:sz w:val="24"/>
          <w:szCs w:val="24"/>
        </w:rPr>
        <w:t>表1</w:t>
      </w:r>
      <w:r>
        <w:rPr>
          <w:rFonts w:ascii="仿宋" w:hAnsi="仿宋" w:eastAsia="仿宋"/>
          <w:spacing w:val="-7"/>
          <w:w w:val="110"/>
          <w:sz w:val="24"/>
          <w:szCs w:val="24"/>
        </w:rPr>
        <w:t xml:space="preserve"> </w:t>
      </w:r>
      <w:r>
        <w:rPr>
          <w:rFonts w:hint="eastAsia" w:ascii="仿宋" w:hAnsi="仿宋" w:eastAsia="仿宋"/>
          <w:spacing w:val="-7"/>
          <w:w w:val="110"/>
          <w:sz w:val="24"/>
          <w:szCs w:val="24"/>
        </w:rPr>
        <w:t>学位点在读研究生基本情况表</w:t>
      </w:r>
    </w:p>
    <w:bookmarkEnd w:id="9"/>
    <w:tbl>
      <w:tblPr>
        <w:tblStyle w:val="13"/>
        <w:tblW w:w="7965" w:type="dxa"/>
        <w:jc w:val="center"/>
        <w:tblLayout w:type="fixed"/>
        <w:tblCellMar>
          <w:top w:w="0" w:type="dxa"/>
          <w:left w:w="108" w:type="dxa"/>
          <w:bottom w:w="0" w:type="dxa"/>
          <w:right w:w="108" w:type="dxa"/>
        </w:tblCellMar>
      </w:tblPr>
      <w:tblGrid>
        <w:gridCol w:w="1329"/>
        <w:gridCol w:w="1081"/>
        <w:gridCol w:w="1081"/>
        <w:gridCol w:w="1107"/>
        <w:gridCol w:w="1510"/>
        <w:gridCol w:w="778"/>
        <w:gridCol w:w="1079"/>
      </w:tblGrid>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sz w:val="20"/>
              </w:rPr>
              <w:t>学号</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sz w:val="20"/>
              </w:rPr>
              <w:t>姓名</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sz w:val="20"/>
              </w:rPr>
              <w:t>性别</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sz w:val="20"/>
              </w:rPr>
              <w:t>出生年月</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sz w:val="20"/>
              </w:rPr>
              <w:t>政治面貌</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sz w:val="20"/>
              </w:rPr>
              <w:t>民族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sz w:val="20"/>
              </w:rPr>
              <w:t>入学年份</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2020700103</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李仕玉</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19981118</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2020700106</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张艳</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19990810</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中共党员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2020700095</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赵丽芳</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19980228</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中共党员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2020700104</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郭靓</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19971121</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中共党员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2020700094</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梁耀玲</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19970517</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2020700099</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曾媛媛</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19980507</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2020700107</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肖满红</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19971108</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2020700100</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吴丹</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19960621</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中共党员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2020700101</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张婧婷</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19980317</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中共党员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苗族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2020700096</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周方</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19970117</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2020700097</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刘卓维</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19960925</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2020700098</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邱玉</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19960526</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2020700102</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黄丽</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19961226</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2020700105</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贺炳旭</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男</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19951102</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2021700234</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常乐</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19961102</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2021700235</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程意栋</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男</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19971024</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2021700236</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单佳美</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19961022</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2021700237</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高欣</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20000131</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中共党员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2021700238</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郭潇姣</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19980901</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中共预备党员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2021700239</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黄湘琴</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19961212</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2021700240</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刘婧</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19970703</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2021700241</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刘权康</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男</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19981015</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2021700242</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齐雨娟</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19980804</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2021700243</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饶瑞蝶</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19980704</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2021700244</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姚文语</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19980221</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2021700245</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张桂源</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男</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19970915</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侗族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2021700246</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张亚婷</w:t>
            </w:r>
          </w:p>
        </w:tc>
        <w:tc>
          <w:tcPr>
            <w:tcW w:w="1081"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19970508</w:t>
            </w:r>
          </w:p>
        </w:tc>
        <w:tc>
          <w:tcPr>
            <w:tcW w:w="151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中共党员</w:t>
            </w:r>
          </w:p>
        </w:tc>
        <w:tc>
          <w:tcPr>
            <w:tcW w:w="77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2022700115</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刘芸</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19990212</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2022700116</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李任一</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20000228</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2022700117</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翟亚琦</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19991207</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2022700118</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刘庚</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男</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19980321</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预备党员</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2022700119</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杜娟</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19971101</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2022700121</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刘倩</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19990905</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2022700122</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吴保林</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男</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19991205</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2022700123</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袁小燕</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20000522</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2022700124</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谢抒涵</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19980928</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中共党员</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2022700125</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吴文源</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男</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19980111</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2022700126</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童子萍</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20000825</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2022700127</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冯美珠</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19981011</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2022700128</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李欣雨</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20000817</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汉族</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w:t>
            </w:r>
          </w:p>
        </w:tc>
      </w:tr>
      <w:tr>
        <w:tblPrEx>
          <w:tblCellMar>
            <w:top w:w="0" w:type="dxa"/>
            <w:left w:w="108" w:type="dxa"/>
            <w:bottom w:w="0" w:type="dxa"/>
            <w:right w:w="108" w:type="dxa"/>
          </w:tblCellMar>
        </w:tblPrEx>
        <w:trPr>
          <w:trHeight w:val="255" w:hRule="atLeast"/>
          <w:jc w:val="center"/>
        </w:trPr>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2022700129</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杨小芳</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女</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19991023</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共青团员</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土家</w:t>
            </w:r>
          </w:p>
        </w:tc>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2022</w:t>
            </w:r>
          </w:p>
        </w:tc>
      </w:tr>
    </w:tbl>
    <w:p>
      <w:pPr>
        <w:pStyle w:val="2"/>
        <w:snapToGrid w:val="0"/>
        <w:spacing w:after="0" w:line="360" w:lineRule="auto"/>
        <w:ind w:left="0" w:leftChars="0" w:firstLine="562"/>
        <w:rPr>
          <w:b/>
          <w:bCs/>
          <w:sz w:val="28"/>
          <w:szCs w:val="24"/>
          <w:highlight w:val="yellow"/>
        </w:rPr>
      </w:pPr>
    </w:p>
    <w:p>
      <w:pPr>
        <w:snapToGrid w:val="0"/>
        <w:spacing w:line="360" w:lineRule="auto"/>
        <w:ind w:firstLine="500" w:firstLineChars="200"/>
        <w:jc w:val="center"/>
        <w:rPr>
          <w:rFonts w:ascii="仿宋" w:hAnsi="仿宋" w:eastAsia="仿宋"/>
          <w:spacing w:val="-7"/>
          <w:w w:val="110"/>
          <w:sz w:val="24"/>
          <w:szCs w:val="24"/>
        </w:rPr>
      </w:pPr>
      <w:bookmarkStart w:id="10" w:name="_Hlk92456820"/>
      <w:r>
        <w:rPr>
          <w:rFonts w:hint="eastAsia" w:ascii="仿宋" w:hAnsi="仿宋" w:eastAsia="仿宋"/>
          <w:spacing w:val="-7"/>
          <w:w w:val="110"/>
          <w:sz w:val="24"/>
          <w:szCs w:val="24"/>
        </w:rPr>
        <w:t>表2</w:t>
      </w:r>
      <w:r>
        <w:rPr>
          <w:rFonts w:ascii="仿宋" w:hAnsi="仿宋" w:eastAsia="仿宋"/>
          <w:spacing w:val="-7"/>
          <w:w w:val="110"/>
          <w:sz w:val="24"/>
          <w:szCs w:val="24"/>
        </w:rPr>
        <w:t xml:space="preserve"> 2</w:t>
      </w:r>
      <w:r>
        <w:rPr>
          <w:rFonts w:hint="eastAsia" w:ascii="仿宋" w:hAnsi="仿宋" w:eastAsia="仿宋"/>
          <w:spacing w:val="-7"/>
          <w:w w:val="110"/>
          <w:sz w:val="24"/>
          <w:szCs w:val="24"/>
        </w:rPr>
        <w:t>2届工商管理毕业生就业情况表</w:t>
      </w:r>
    </w:p>
    <w:bookmarkEnd w:id="10"/>
    <w:tbl>
      <w:tblPr>
        <w:tblStyle w:val="13"/>
        <w:tblW w:w="8865" w:type="dxa"/>
        <w:jc w:val="center"/>
        <w:tblLayout w:type="fixed"/>
        <w:tblCellMar>
          <w:top w:w="0" w:type="dxa"/>
          <w:left w:w="108" w:type="dxa"/>
          <w:bottom w:w="0" w:type="dxa"/>
          <w:right w:w="108" w:type="dxa"/>
        </w:tblCellMar>
      </w:tblPr>
      <w:tblGrid>
        <w:gridCol w:w="1331"/>
        <w:gridCol w:w="934"/>
        <w:gridCol w:w="3433"/>
        <w:gridCol w:w="2024"/>
        <w:gridCol w:w="1143"/>
      </w:tblGrid>
      <w:tr>
        <w:tblPrEx>
          <w:tblCellMar>
            <w:top w:w="0" w:type="dxa"/>
            <w:left w:w="108" w:type="dxa"/>
            <w:bottom w:w="0" w:type="dxa"/>
            <w:right w:w="108" w:type="dxa"/>
          </w:tblCellMar>
        </w:tblPrEx>
        <w:trPr>
          <w:trHeight w:val="540" w:hRule="atLeast"/>
          <w:jc w:val="center"/>
        </w:trPr>
        <w:tc>
          <w:tcPr>
            <w:tcW w:w="133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bottom"/>
              <w:rPr>
                <w:rFonts w:ascii="仿宋" w:hAnsi="仿宋" w:eastAsia="仿宋" w:cs="宋体"/>
                <w:b/>
                <w:bCs/>
                <w:sz w:val="22"/>
                <w:szCs w:val="22"/>
              </w:rPr>
            </w:pPr>
            <w:r>
              <w:rPr>
                <w:rFonts w:hint="eastAsia" w:ascii="仿宋" w:hAnsi="仿宋" w:eastAsia="仿宋" w:cs="宋体"/>
                <w:b/>
                <w:bCs/>
                <w:kern w:val="0"/>
                <w:sz w:val="22"/>
                <w:szCs w:val="22"/>
                <w:lang w:bidi="ar"/>
              </w:rPr>
              <w:t>学号</w:t>
            </w: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bottom"/>
              <w:rPr>
                <w:rFonts w:ascii="仿宋" w:hAnsi="仿宋" w:eastAsia="仿宋" w:cs="宋体"/>
                <w:b/>
                <w:bCs/>
                <w:sz w:val="22"/>
                <w:szCs w:val="22"/>
              </w:rPr>
            </w:pPr>
            <w:r>
              <w:rPr>
                <w:rFonts w:hint="eastAsia" w:ascii="仿宋" w:hAnsi="仿宋" w:eastAsia="仿宋" w:cs="宋体"/>
                <w:b/>
                <w:bCs/>
                <w:kern w:val="0"/>
                <w:sz w:val="22"/>
                <w:szCs w:val="22"/>
                <w:lang w:bidi="ar"/>
              </w:rPr>
              <w:t>姓名</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bottom"/>
              <w:rPr>
                <w:rFonts w:ascii="仿宋" w:hAnsi="仿宋" w:eastAsia="仿宋" w:cs="宋体"/>
                <w:b/>
                <w:bCs/>
                <w:sz w:val="22"/>
                <w:szCs w:val="22"/>
              </w:rPr>
            </w:pPr>
            <w:r>
              <w:rPr>
                <w:rFonts w:hint="eastAsia" w:ascii="仿宋" w:hAnsi="仿宋" w:eastAsia="仿宋" w:cs="宋体"/>
                <w:b/>
                <w:bCs/>
                <w:kern w:val="0"/>
                <w:sz w:val="22"/>
                <w:szCs w:val="22"/>
                <w:lang w:bidi="ar"/>
              </w:rPr>
              <w:t>单位名称</w:t>
            </w:r>
          </w:p>
        </w:tc>
        <w:tc>
          <w:tcPr>
            <w:tcW w:w="202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bottom"/>
              <w:rPr>
                <w:rFonts w:ascii="仿宋" w:hAnsi="仿宋" w:eastAsia="仿宋" w:cs="宋体"/>
                <w:b/>
                <w:bCs/>
                <w:sz w:val="22"/>
                <w:szCs w:val="22"/>
              </w:rPr>
            </w:pPr>
            <w:r>
              <w:rPr>
                <w:rFonts w:hint="eastAsia" w:ascii="仿宋" w:hAnsi="仿宋" w:eastAsia="仿宋" w:cs="宋体"/>
                <w:b/>
                <w:bCs/>
                <w:kern w:val="0"/>
                <w:sz w:val="22"/>
                <w:szCs w:val="22"/>
                <w:lang w:bidi="ar"/>
              </w:rPr>
              <w:t>单位所在地区</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bottom"/>
              <w:rPr>
                <w:rFonts w:ascii="仿宋" w:hAnsi="仿宋" w:eastAsia="仿宋" w:cs="宋体"/>
                <w:b/>
                <w:bCs/>
                <w:sz w:val="22"/>
                <w:szCs w:val="22"/>
              </w:rPr>
            </w:pPr>
            <w:r>
              <w:rPr>
                <w:rFonts w:hint="eastAsia" w:ascii="仿宋" w:hAnsi="仿宋" w:eastAsia="仿宋" w:cs="宋体"/>
                <w:b/>
                <w:bCs/>
                <w:sz w:val="22"/>
                <w:szCs w:val="22"/>
              </w:rPr>
              <w:t>单位性质</w:t>
            </w:r>
          </w:p>
        </w:tc>
      </w:tr>
      <w:tr>
        <w:tblPrEx>
          <w:tblCellMar>
            <w:top w:w="0" w:type="dxa"/>
            <w:left w:w="108" w:type="dxa"/>
            <w:bottom w:w="0" w:type="dxa"/>
            <w:right w:w="108" w:type="dxa"/>
          </w:tblCellMar>
        </w:tblPrEx>
        <w:trPr>
          <w:trHeight w:val="270" w:hRule="atLeast"/>
          <w:jc w:val="center"/>
        </w:trPr>
        <w:tc>
          <w:tcPr>
            <w:tcW w:w="1331"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2019700379</w:t>
            </w:r>
          </w:p>
        </w:tc>
        <w:tc>
          <w:tcPr>
            <w:tcW w:w="93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陈乐</w:t>
            </w:r>
          </w:p>
        </w:tc>
        <w:tc>
          <w:tcPr>
            <w:tcW w:w="343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中国建设银行股份有限公司南京分行</w:t>
            </w:r>
          </w:p>
        </w:tc>
        <w:tc>
          <w:tcPr>
            <w:tcW w:w="202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江苏省南京市秦淮区</w:t>
            </w:r>
          </w:p>
        </w:tc>
        <w:tc>
          <w:tcPr>
            <w:tcW w:w="114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国有企业</w:t>
            </w:r>
          </w:p>
        </w:tc>
      </w:tr>
      <w:tr>
        <w:tblPrEx>
          <w:tblCellMar>
            <w:top w:w="0" w:type="dxa"/>
            <w:left w:w="108" w:type="dxa"/>
            <w:bottom w:w="0" w:type="dxa"/>
            <w:right w:w="108" w:type="dxa"/>
          </w:tblCellMar>
        </w:tblPrEx>
        <w:trPr>
          <w:trHeight w:val="363" w:hRule="atLeast"/>
          <w:jc w:val="center"/>
        </w:trPr>
        <w:tc>
          <w:tcPr>
            <w:tcW w:w="1331"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2019700380</w:t>
            </w:r>
          </w:p>
        </w:tc>
        <w:tc>
          <w:tcPr>
            <w:tcW w:w="93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陈逸年</w:t>
            </w:r>
          </w:p>
        </w:tc>
        <w:tc>
          <w:tcPr>
            <w:tcW w:w="343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吉首大学</w:t>
            </w:r>
          </w:p>
        </w:tc>
        <w:tc>
          <w:tcPr>
            <w:tcW w:w="202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湖南省吉首市</w:t>
            </w:r>
          </w:p>
        </w:tc>
        <w:tc>
          <w:tcPr>
            <w:tcW w:w="114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高等学校</w:t>
            </w:r>
          </w:p>
        </w:tc>
      </w:tr>
      <w:tr>
        <w:tblPrEx>
          <w:tblCellMar>
            <w:top w:w="0" w:type="dxa"/>
            <w:left w:w="108" w:type="dxa"/>
            <w:bottom w:w="0" w:type="dxa"/>
            <w:right w:w="108" w:type="dxa"/>
          </w:tblCellMar>
        </w:tblPrEx>
        <w:trPr>
          <w:trHeight w:val="270" w:hRule="atLeast"/>
          <w:jc w:val="center"/>
        </w:trPr>
        <w:tc>
          <w:tcPr>
            <w:tcW w:w="1331"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2019700381</w:t>
            </w:r>
          </w:p>
        </w:tc>
        <w:tc>
          <w:tcPr>
            <w:tcW w:w="93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单中瑞</w:t>
            </w:r>
          </w:p>
        </w:tc>
        <w:tc>
          <w:tcPr>
            <w:tcW w:w="343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江苏省国信集团财务有限公司</w:t>
            </w:r>
          </w:p>
        </w:tc>
        <w:tc>
          <w:tcPr>
            <w:tcW w:w="202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江苏省南京市</w:t>
            </w:r>
          </w:p>
        </w:tc>
        <w:tc>
          <w:tcPr>
            <w:tcW w:w="114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其他企业</w:t>
            </w:r>
          </w:p>
        </w:tc>
      </w:tr>
      <w:tr>
        <w:tblPrEx>
          <w:tblCellMar>
            <w:top w:w="0" w:type="dxa"/>
            <w:left w:w="108" w:type="dxa"/>
            <w:bottom w:w="0" w:type="dxa"/>
            <w:right w:w="108" w:type="dxa"/>
          </w:tblCellMar>
        </w:tblPrEx>
        <w:trPr>
          <w:trHeight w:val="480" w:hRule="atLeast"/>
          <w:jc w:val="center"/>
        </w:trPr>
        <w:tc>
          <w:tcPr>
            <w:tcW w:w="1331"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2019700382</w:t>
            </w:r>
          </w:p>
        </w:tc>
        <w:tc>
          <w:tcPr>
            <w:tcW w:w="93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苟凯歌</w:t>
            </w:r>
          </w:p>
        </w:tc>
        <w:tc>
          <w:tcPr>
            <w:tcW w:w="343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p>
        </w:tc>
        <w:tc>
          <w:tcPr>
            <w:tcW w:w="202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p>
        </w:tc>
        <w:tc>
          <w:tcPr>
            <w:tcW w:w="114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待就业</w:t>
            </w:r>
          </w:p>
        </w:tc>
      </w:tr>
      <w:tr>
        <w:tblPrEx>
          <w:tblCellMar>
            <w:top w:w="0" w:type="dxa"/>
            <w:left w:w="108" w:type="dxa"/>
            <w:bottom w:w="0" w:type="dxa"/>
            <w:right w:w="108" w:type="dxa"/>
          </w:tblCellMar>
        </w:tblPrEx>
        <w:trPr>
          <w:trHeight w:val="270" w:hRule="atLeast"/>
          <w:jc w:val="center"/>
        </w:trPr>
        <w:tc>
          <w:tcPr>
            <w:tcW w:w="1331"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2019700383</w:t>
            </w:r>
          </w:p>
        </w:tc>
        <w:tc>
          <w:tcPr>
            <w:tcW w:w="93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韩荣荣</w:t>
            </w:r>
          </w:p>
        </w:tc>
        <w:tc>
          <w:tcPr>
            <w:tcW w:w="343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庆云县人力资源和社会保障局</w:t>
            </w:r>
          </w:p>
        </w:tc>
        <w:tc>
          <w:tcPr>
            <w:tcW w:w="202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山东省庆云县</w:t>
            </w:r>
          </w:p>
        </w:tc>
        <w:tc>
          <w:tcPr>
            <w:tcW w:w="114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机关单位</w:t>
            </w:r>
          </w:p>
        </w:tc>
      </w:tr>
      <w:tr>
        <w:tblPrEx>
          <w:tblCellMar>
            <w:top w:w="0" w:type="dxa"/>
            <w:left w:w="108" w:type="dxa"/>
            <w:bottom w:w="0" w:type="dxa"/>
            <w:right w:w="108" w:type="dxa"/>
          </w:tblCellMar>
        </w:tblPrEx>
        <w:trPr>
          <w:trHeight w:val="480" w:hRule="atLeast"/>
          <w:jc w:val="center"/>
        </w:trPr>
        <w:tc>
          <w:tcPr>
            <w:tcW w:w="1331"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2019700384</w:t>
            </w:r>
          </w:p>
        </w:tc>
        <w:tc>
          <w:tcPr>
            <w:tcW w:w="93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童志熠</w:t>
            </w:r>
          </w:p>
        </w:tc>
        <w:tc>
          <w:tcPr>
            <w:tcW w:w="343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南京纺织品进出口有限公司</w:t>
            </w:r>
          </w:p>
        </w:tc>
        <w:tc>
          <w:tcPr>
            <w:tcW w:w="202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江苏南京</w:t>
            </w:r>
          </w:p>
        </w:tc>
        <w:tc>
          <w:tcPr>
            <w:tcW w:w="114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其他企业</w:t>
            </w:r>
          </w:p>
        </w:tc>
      </w:tr>
      <w:tr>
        <w:tblPrEx>
          <w:tblCellMar>
            <w:top w:w="0" w:type="dxa"/>
            <w:left w:w="108" w:type="dxa"/>
            <w:bottom w:w="0" w:type="dxa"/>
            <w:right w:w="108" w:type="dxa"/>
          </w:tblCellMar>
        </w:tblPrEx>
        <w:trPr>
          <w:trHeight w:val="480" w:hRule="atLeast"/>
          <w:jc w:val="center"/>
        </w:trPr>
        <w:tc>
          <w:tcPr>
            <w:tcW w:w="1331"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2019700385</w:t>
            </w:r>
          </w:p>
        </w:tc>
        <w:tc>
          <w:tcPr>
            <w:tcW w:w="93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王佳卉</w:t>
            </w:r>
          </w:p>
        </w:tc>
        <w:tc>
          <w:tcPr>
            <w:tcW w:w="343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p>
        </w:tc>
        <w:tc>
          <w:tcPr>
            <w:tcW w:w="202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p>
        </w:tc>
        <w:tc>
          <w:tcPr>
            <w:tcW w:w="114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待就业</w:t>
            </w:r>
          </w:p>
        </w:tc>
      </w:tr>
      <w:tr>
        <w:tblPrEx>
          <w:tblCellMar>
            <w:top w:w="0" w:type="dxa"/>
            <w:left w:w="108" w:type="dxa"/>
            <w:bottom w:w="0" w:type="dxa"/>
            <w:right w:w="108" w:type="dxa"/>
          </w:tblCellMar>
        </w:tblPrEx>
        <w:trPr>
          <w:trHeight w:val="270" w:hRule="atLeast"/>
          <w:jc w:val="center"/>
        </w:trPr>
        <w:tc>
          <w:tcPr>
            <w:tcW w:w="1331"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2019700386</w:t>
            </w:r>
          </w:p>
        </w:tc>
        <w:tc>
          <w:tcPr>
            <w:tcW w:w="93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王杉杉</w:t>
            </w:r>
          </w:p>
        </w:tc>
        <w:tc>
          <w:tcPr>
            <w:tcW w:w="343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sz w:val="22"/>
                <w:szCs w:val="22"/>
              </w:rPr>
            </w:pPr>
            <w:r>
              <w:rPr>
                <w:rFonts w:hint="eastAsia" w:ascii="仿宋" w:hAnsi="仿宋" w:eastAsia="仿宋" w:cs="宋体"/>
                <w:kern w:val="0"/>
                <w:sz w:val="20"/>
                <w:lang w:bidi="ar"/>
              </w:rPr>
              <w:t>苏果超市有限公司</w:t>
            </w:r>
          </w:p>
        </w:tc>
        <w:tc>
          <w:tcPr>
            <w:tcW w:w="202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江苏南京</w:t>
            </w:r>
          </w:p>
        </w:tc>
        <w:tc>
          <w:tcPr>
            <w:tcW w:w="114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其他企业</w:t>
            </w:r>
          </w:p>
        </w:tc>
      </w:tr>
      <w:tr>
        <w:tblPrEx>
          <w:tblCellMar>
            <w:top w:w="0" w:type="dxa"/>
            <w:left w:w="108" w:type="dxa"/>
            <w:bottom w:w="0" w:type="dxa"/>
            <w:right w:w="108" w:type="dxa"/>
          </w:tblCellMar>
        </w:tblPrEx>
        <w:trPr>
          <w:trHeight w:val="270" w:hRule="atLeast"/>
          <w:jc w:val="center"/>
        </w:trPr>
        <w:tc>
          <w:tcPr>
            <w:tcW w:w="1331"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2019700387</w:t>
            </w:r>
          </w:p>
        </w:tc>
        <w:tc>
          <w:tcPr>
            <w:tcW w:w="93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肖露露</w:t>
            </w:r>
          </w:p>
        </w:tc>
        <w:tc>
          <w:tcPr>
            <w:tcW w:w="343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p>
        </w:tc>
        <w:tc>
          <w:tcPr>
            <w:tcW w:w="202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p>
        </w:tc>
        <w:tc>
          <w:tcPr>
            <w:tcW w:w="114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待就业</w:t>
            </w:r>
          </w:p>
        </w:tc>
      </w:tr>
      <w:tr>
        <w:tblPrEx>
          <w:tblCellMar>
            <w:top w:w="0" w:type="dxa"/>
            <w:left w:w="108" w:type="dxa"/>
            <w:bottom w:w="0" w:type="dxa"/>
            <w:right w:w="108" w:type="dxa"/>
          </w:tblCellMar>
        </w:tblPrEx>
        <w:trPr>
          <w:trHeight w:val="270" w:hRule="atLeast"/>
          <w:jc w:val="center"/>
        </w:trPr>
        <w:tc>
          <w:tcPr>
            <w:tcW w:w="1331"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2019700388</w:t>
            </w:r>
          </w:p>
        </w:tc>
        <w:tc>
          <w:tcPr>
            <w:tcW w:w="93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薛广昌</w:t>
            </w:r>
          </w:p>
        </w:tc>
        <w:tc>
          <w:tcPr>
            <w:tcW w:w="343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巨野县人力资源和社会保障局</w:t>
            </w:r>
          </w:p>
        </w:tc>
        <w:tc>
          <w:tcPr>
            <w:tcW w:w="202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山东省巨野县</w:t>
            </w:r>
          </w:p>
        </w:tc>
        <w:tc>
          <w:tcPr>
            <w:tcW w:w="114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机关单位</w:t>
            </w:r>
          </w:p>
        </w:tc>
      </w:tr>
      <w:tr>
        <w:tblPrEx>
          <w:tblCellMar>
            <w:top w:w="0" w:type="dxa"/>
            <w:left w:w="108" w:type="dxa"/>
            <w:bottom w:w="0" w:type="dxa"/>
            <w:right w:w="108" w:type="dxa"/>
          </w:tblCellMar>
        </w:tblPrEx>
        <w:trPr>
          <w:trHeight w:val="270" w:hRule="atLeast"/>
          <w:jc w:val="center"/>
        </w:trPr>
        <w:tc>
          <w:tcPr>
            <w:tcW w:w="1331"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2019700389</w:t>
            </w:r>
          </w:p>
        </w:tc>
        <w:tc>
          <w:tcPr>
            <w:tcW w:w="93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杨梦瑶</w:t>
            </w:r>
          </w:p>
        </w:tc>
        <w:tc>
          <w:tcPr>
            <w:tcW w:w="343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p>
        </w:tc>
        <w:tc>
          <w:tcPr>
            <w:tcW w:w="202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p>
        </w:tc>
        <w:tc>
          <w:tcPr>
            <w:tcW w:w="114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待就业</w:t>
            </w:r>
          </w:p>
        </w:tc>
      </w:tr>
      <w:tr>
        <w:tblPrEx>
          <w:tblCellMar>
            <w:top w:w="0" w:type="dxa"/>
            <w:left w:w="108" w:type="dxa"/>
            <w:bottom w:w="0" w:type="dxa"/>
            <w:right w:w="108" w:type="dxa"/>
          </w:tblCellMar>
        </w:tblPrEx>
        <w:trPr>
          <w:trHeight w:val="270" w:hRule="atLeast"/>
          <w:jc w:val="center"/>
        </w:trPr>
        <w:tc>
          <w:tcPr>
            <w:tcW w:w="1331"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2019700390</w:t>
            </w:r>
          </w:p>
        </w:tc>
        <w:tc>
          <w:tcPr>
            <w:tcW w:w="93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俞益亮</w:t>
            </w:r>
          </w:p>
        </w:tc>
        <w:tc>
          <w:tcPr>
            <w:tcW w:w="343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p>
        </w:tc>
        <w:tc>
          <w:tcPr>
            <w:tcW w:w="202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p>
        </w:tc>
        <w:tc>
          <w:tcPr>
            <w:tcW w:w="114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待就业</w:t>
            </w:r>
          </w:p>
        </w:tc>
      </w:tr>
      <w:tr>
        <w:tblPrEx>
          <w:tblCellMar>
            <w:top w:w="0" w:type="dxa"/>
            <w:left w:w="108" w:type="dxa"/>
            <w:bottom w:w="0" w:type="dxa"/>
            <w:right w:w="108" w:type="dxa"/>
          </w:tblCellMar>
        </w:tblPrEx>
        <w:trPr>
          <w:trHeight w:val="270" w:hRule="atLeast"/>
          <w:jc w:val="center"/>
        </w:trPr>
        <w:tc>
          <w:tcPr>
            <w:tcW w:w="1331"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2019700391</w:t>
            </w:r>
          </w:p>
        </w:tc>
        <w:tc>
          <w:tcPr>
            <w:tcW w:w="93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赵学康</w:t>
            </w:r>
          </w:p>
        </w:tc>
        <w:tc>
          <w:tcPr>
            <w:tcW w:w="3433"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中国银行股份有限公司南京分行</w:t>
            </w:r>
          </w:p>
        </w:tc>
        <w:tc>
          <w:tcPr>
            <w:tcW w:w="2024" w:type="dxa"/>
            <w:tcBorders>
              <w:top w:val="single" w:color="000000" w:sz="4" w:space="0"/>
              <w:left w:val="single" w:color="000000" w:sz="4" w:space="0"/>
              <w:bottom w:val="single" w:color="000000" w:sz="4" w:space="0"/>
              <w:right w:val="single" w:color="000000" w:sz="4" w:space="0"/>
            </w:tcBorders>
            <w:vAlign w:val="bottom"/>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江苏省南京市</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s="宋体"/>
                <w:kern w:val="0"/>
                <w:sz w:val="20"/>
                <w:lang w:bidi="ar"/>
              </w:rPr>
            </w:pPr>
            <w:r>
              <w:rPr>
                <w:rFonts w:hint="eastAsia" w:ascii="仿宋" w:hAnsi="仿宋" w:eastAsia="仿宋" w:cs="宋体"/>
                <w:kern w:val="0"/>
                <w:sz w:val="20"/>
                <w:lang w:bidi="ar"/>
              </w:rPr>
              <w:t>国有企业</w:t>
            </w:r>
          </w:p>
        </w:tc>
      </w:tr>
    </w:tbl>
    <w:p>
      <w:pPr>
        <w:pStyle w:val="2"/>
      </w:pPr>
    </w:p>
    <w:p>
      <w:pPr>
        <w:pStyle w:val="6"/>
        <w:snapToGrid w:val="0"/>
        <w:spacing w:before="0" w:after="0" w:line="360" w:lineRule="auto"/>
        <w:ind w:firstLine="562" w:firstLineChars="200"/>
        <w:rPr>
          <w:rFonts w:ascii="仿宋" w:hAnsi="仿宋" w:eastAsia="仿宋"/>
          <w:sz w:val="28"/>
          <w:szCs w:val="28"/>
        </w:rPr>
      </w:pPr>
      <w:bookmarkStart w:id="11" w:name="_Toc92275536"/>
      <w:bookmarkStart w:id="12" w:name="_Hlk92273235"/>
      <w:r>
        <w:rPr>
          <w:rFonts w:ascii="仿宋" w:hAnsi="仿宋" w:eastAsia="仿宋"/>
          <w:sz w:val="28"/>
          <w:szCs w:val="28"/>
        </w:rPr>
        <w:t>4</w:t>
      </w:r>
      <w:r>
        <w:rPr>
          <w:rFonts w:hint="eastAsia" w:ascii="仿宋" w:hAnsi="仿宋" w:eastAsia="仿宋"/>
          <w:sz w:val="28"/>
          <w:szCs w:val="28"/>
        </w:rPr>
        <w:t>.研究生导师状况</w:t>
      </w:r>
      <w:bookmarkEnd w:id="11"/>
    </w:p>
    <w:bookmarkEnd w:id="12"/>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学位点现有导师12名，生师比为3.3：1，</w:t>
      </w:r>
      <w:bookmarkStart w:id="13" w:name="_Hlk92273369"/>
      <w:r>
        <w:rPr>
          <w:rFonts w:hint="eastAsia" w:ascii="仿宋" w:hAnsi="仿宋" w:eastAsia="仿宋"/>
          <w:spacing w:val="-7"/>
          <w:w w:val="110"/>
          <w:sz w:val="28"/>
          <w:szCs w:val="28"/>
        </w:rPr>
        <w:t>共有专任教师40人，其中教授11人、副教授18人，博士22人，教育部新世纪人才计划人选2人，湖南省“百人计划”专家1人，省级学科带头人2人；博士生导师3人，教师年龄结构以中青年教师为主，学缘结构合理，多来自中山大学、中南大学、西南财经大学、北京林业科技大学等国内著名高校，全年生师比仅为1：1。</w:t>
      </w:r>
    </w:p>
    <w:bookmarkEnd w:id="13"/>
    <w:p>
      <w:pPr>
        <w:snapToGrid w:val="0"/>
        <w:spacing w:line="360" w:lineRule="auto"/>
        <w:rPr>
          <w:rFonts w:ascii="仿宋" w:hAnsi="仿宋" w:eastAsia="仿宋"/>
        </w:rPr>
      </w:pPr>
    </w:p>
    <w:p>
      <w:pPr>
        <w:pStyle w:val="5"/>
        <w:snapToGrid w:val="0"/>
        <w:spacing w:before="0" w:after="0" w:line="360" w:lineRule="auto"/>
        <w:rPr>
          <w:rFonts w:ascii="黑体" w:hAnsi="黑体" w:eastAsia="黑体"/>
          <w:b w:val="0"/>
          <w:bCs w:val="0"/>
        </w:rPr>
      </w:pPr>
      <w:bookmarkStart w:id="14" w:name="_Toc92275537"/>
      <w:r>
        <w:rPr>
          <w:rFonts w:hint="eastAsia" w:ascii="黑体" w:hAnsi="黑体" w:eastAsia="黑体"/>
          <w:b w:val="0"/>
          <w:bCs w:val="0"/>
        </w:rPr>
        <w:t>二、研究生党建与思想政治教育工作</w:t>
      </w:r>
      <w:bookmarkEnd w:id="14"/>
    </w:p>
    <w:p>
      <w:pPr>
        <w:pStyle w:val="6"/>
        <w:snapToGrid w:val="0"/>
        <w:spacing w:before="0" w:after="0" w:line="360" w:lineRule="auto"/>
        <w:ind w:firstLine="618" w:firstLineChars="200"/>
        <w:rPr>
          <w:rFonts w:ascii="仿宋" w:hAnsi="仿宋" w:eastAsia="仿宋"/>
          <w:w w:val="110"/>
          <w:sz w:val="28"/>
          <w:szCs w:val="28"/>
        </w:rPr>
      </w:pPr>
      <w:bookmarkStart w:id="15" w:name="_Toc92275538"/>
      <w:bookmarkStart w:id="16" w:name="_Hlk92201961"/>
      <w:r>
        <w:rPr>
          <w:rFonts w:hint="eastAsia" w:ascii="仿宋" w:hAnsi="仿宋" w:eastAsia="仿宋"/>
          <w:w w:val="110"/>
          <w:sz w:val="28"/>
          <w:szCs w:val="28"/>
        </w:rPr>
        <w:t>1</w:t>
      </w:r>
      <w:r>
        <w:rPr>
          <w:rFonts w:ascii="仿宋" w:hAnsi="仿宋" w:eastAsia="仿宋"/>
          <w:w w:val="110"/>
          <w:sz w:val="28"/>
          <w:szCs w:val="28"/>
        </w:rPr>
        <w:t xml:space="preserve">. </w:t>
      </w:r>
      <w:r>
        <w:rPr>
          <w:rFonts w:hint="eastAsia" w:ascii="仿宋" w:hAnsi="仿宋" w:eastAsia="仿宋"/>
          <w:w w:val="110"/>
          <w:sz w:val="28"/>
          <w:szCs w:val="28"/>
        </w:rPr>
        <w:t>思想政治教育队伍建设</w:t>
      </w:r>
      <w:bookmarkEnd w:id="15"/>
    </w:p>
    <w:p>
      <w:pPr>
        <w:pStyle w:val="7"/>
        <w:tabs>
          <w:tab w:val="left" w:pos="8280"/>
        </w:tabs>
        <w:snapToGrid w:val="0"/>
        <w:spacing w:after="0" w:line="360" w:lineRule="auto"/>
        <w:ind w:right="26" w:firstLine="588" w:firstLineChars="200"/>
        <w:rPr>
          <w:rFonts w:ascii="仿宋" w:hAnsi="仿宋" w:eastAsia="仿宋"/>
          <w:spacing w:val="-7"/>
          <w:w w:val="110"/>
          <w:sz w:val="28"/>
          <w:szCs w:val="28"/>
        </w:rPr>
      </w:pPr>
      <w:r>
        <w:rPr>
          <w:rFonts w:hint="eastAsia" w:ascii="仿宋" w:hAnsi="仿宋" w:eastAsia="仿宋"/>
          <w:spacing w:val="-7"/>
          <w:w w:val="110"/>
          <w:sz w:val="28"/>
          <w:szCs w:val="28"/>
        </w:rPr>
        <w:t>根据研究生教育管理的需要，成立了以主管研究生思想政治工作的学院党委书记为组长、分管研究生教育培养的副院长为副组长，研究生专职秘书、研究生思想政治教育专干、研究生就业专干、研究生导师代表为成员的院研究生思想政治教育工作小组；组建了学位点研究生党支部和班委会、团支部，完善了研究生思想政治教育队伍建设。</w:t>
      </w:r>
    </w:p>
    <w:bookmarkEnd w:id="16"/>
    <w:p>
      <w:pPr>
        <w:pStyle w:val="6"/>
        <w:snapToGrid w:val="0"/>
        <w:spacing w:before="0" w:after="0" w:line="360" w:lineRule="auto"/>
        <w:ind w:firstLine="618" w:firstLineChars="200"/>
        <w:rPr>
          <w:rFonts w:ascii="仿宋" w:hAnsi="仿宋" w:eastAsia="仿宋"/>
          <w:w w:val="110"/>
          <w:sz w:val="28"/>
          <w:szCs w:val="28"/>
        </w:rPr>
      </w:pPr>
      <w:bookmarkStart w:id="17" w:name="_Toc92275539"/>
      <w:bookmarkStart w:id="18" w:name="_Hlk92202012"/>
      <w:r>
        <w:rPr>
          <w:rFonts w:hint="eastAsia" w:ascii="仿宋" w:hAnsi="仿宋" w:eastAsia="仿宋"/>
          <w:w w:val="110"/>
          <w:sz w:val="28"/>
          <w:szCs w:val="28"/>
        </w:rPr>
        <w:t>2</w:t>
      </w:r>
      <w:r>
        <w:rPr>
          <w:rFonts w:ascii="仿宋" w:hAnsi="仿宋" w:eastAsia="仿宋"/>
          <w:w w:val="110"/>
          <w:sz w:val="28"/>
          <w:szCs w:val="28"/>
        </w:rPr>
        <w:t xml:space="preserve">. </w:t>
      </w:r>
      <w:r>
        <w:rPr>
          <w:rFonts w:hint="eastAsia" w:ascii="仿宋" w:hAnsi="仿宋" w:eastAsia="仿宋"/>
          <w:w w:val="110"/>
          <w:sz w:val="28"/>
          <w:szCs w:val="28"/>
        </w:rPr>
        <w:t>理想</w:t>
      </w:r>
      <w:r>
        <w:rPr>
          <w:rFonts w:hint="eastAsia" w:ascii="仿宋" w:hAnsi="仿宋" w:eastAsia="仿宋"/>
          <w:sz w:val="28"/>
          <w:szCs w:val="28"/>
        </w:rPr>
        <w:t>信念</w:t>
      </w:r>
      <w:r>
        <w:rPr>
          <w:rFonts w:hint="eastAsia" w:ascii="仿宋" w:hAnsi="仿宋" w:eastAsia="仿宋"/>
          <w:w w:val="110"/>
          <w:sz w:val="28"/>
          <w:szCs w:val="28"/>
        </w:rPr>
        <w:t>和社会主义核心价值观教育</w:t>
      </w:r>
      <w:bookmarkEnd w:id="17"/>
    </w:p>
    <w:p>
      <w:pPr>
        <w:pStyle w:val="7"/>
        <w:tabs>
          <w:tab w:val="left" w:pos="8280"/>
        </w:tabs>
        <w:snapToGrid w:val="0"/>
        <w:spacing w:after="0" w:line="360" w:lineRule="auto"/>
        <w:ind w:right="26" w:firstLine="588" w:firstLineChars="200"/>
        <w:rPr>
          <w:rFonts w:ascii="仿宋" w:hAnsi="仿宋" w:eastAsia="仿宋"/>
          <w:spacing w:val="-7"/>
          <w:w w:val="110"/>
          <w:sz w:val="36"/>
          <w:szCs w:val="36"/>
        </w:rPr>
      </w:pPr>
      <w:r>
        <w:rPr>
          <w:rFonts w:hint="eastAsia" w:ascii="仿宋" w:hAnsi="仿宋" w:eastAsia="仿宋"/>
          <w:spacing w:val="-7"/>
          <w:w w:val="110"/>
          <w:sz w:val="28"/>
          <w:szCs w:val="28"/>
        </w:rPr>
        <w:t>学位点在研究生入学初即开展了研究生入学教育，对师生的理想信念和社会主义核心价值观教育等进行教育，通过深入推进师德师风建设，广大教师坚持立德树人，坚持以“四有好老师”严格要求自己，师德师风建设成效显著。为真正做到让2022级研究生新生“稳心、暖心、贴心”，学位点领导和班主任与2022级研究生新生一起欢度佳节，同时邀请已考上博士研究生的孟霏、周宇、王璋、张晓丹、赵阳等毕业生与之开展学习经验交流。</w:t>
      </w:r>
    </w:p>
    <w:bookmarkEnd w:id="18"/>
    <w:p>
      <w:pPr>
        <w:ind w:firstLine="588" w:firstLineChars="200"/>
        <w:rPr>
          <w:rFonts w:ascii="仿宋" w:hAnsi="仿宋" w:eastAsia="仿宋"/>
          <w:spacing w:val="-7"/>
          <w:w w:val="110"/>
          <w:sz w:val="28"/>
          <w:szCs w:val="28"/>
        </w:rPr>
      </w:pPr>
      <w:bookmarkStart w:id="19" w:name="_Hlk92202057"/>
      <w:r>
        <w:rPr>
          <w:rFonts w:hint="eastAsia" w:ascii="仿宋" w:hAnsi="仿宋" w:eastAsia="仿宋"/>
          <w:spacing w:val="-7"/>
          <w:w w:val="110"/>
          <w:sz w:val="28"/>
          <w:szCs w:val="28"/>
        </w:rPr>
        <w:t xml:space="preserve">教师理想信念更坚定。广大教师牢固树立了中国特色社会主义理想信念，扎根湖南西部和民族地区，甘于奉献，为湘西教育事业和经济社会发展服务。教师团队教学成果获第十三届湖南省高等教育教学成果奖二等奖1项，获吉首大学教学成果特等奖1项、一等奖2项、三等奖1项；与中山大学管理学院联合申报的教学成果奖获批参评国家级教学成果奖；发表与西部和民族地区相关论文20余篇；《土家族丧葬文化研究》《生计链与农户贫困：理论分析框架的构建及应用》《生态环境补偿会计核算体系研究》《欠发达地区农民工新创企业成长环境及路径研究》等多部专著。先后向国务院扶贫办、国家民委、湖南省政府等提交研究报告、提案、建议等 10余项。教师们利用“风雨湖大讲堂”等平台强化与学生的沟通交流，研究生科研创新项目立项1项、人文社科项目立项6项，教师获湖南省学位与研究生教育教改研究项目立项 1项。 </w:t>
      </w:r>
    </w:p>
    <w:bookmarkEnd w:id="19"/>
    <w:p>
      <w:pPr>
        <w:pStyle w:val="6"/>
        <w:snapToGrid w:val="0"/>
        <w:spacing w:before="0" w:after="0" w:line="360" w:lineRule="auto"/>
        <w:ind w:firstLine="618" w:firstLineChars="200"/>
        <w:rPr>
          <w:rFonts w:ascii="仿宋" w:hAnsi="仿宋" w:eastAsia="仿宋"/>
          <w:w w:val="110"/>
          <w:sz w:val="28"/>
          <w:szCs w:val="28"/>
        </w:rPr>
      </w:pPr>
      <w:bookmarkStart w:id="20" w:name="_Toc92275540"/>
      <w:bookmarkStart w:id="21" w:name="_Hlk92202064"/>
      <w:r>
        <w:rPr>
          <w:rFonts w:hint="eastAsia" w:ascii="仿宋" w:hAnsi="仿宋" w:eastAsia="仿宋"/>
          <w:w w:val="110"/>
          <w:sz w:val="28"/>
          <w:szCs w:val="28"/>
        </w:rPr>
        <w:t>3</w:t>
      </w:r>
      <w:r>
        <w:rPr>
          <w:rFonts w:ascii="仿宋" w:hAnsi="仿宋" w:eastAsia="仿宋"/>
          <w:w w:val="110"/>
          <w:sz w:val="28"/>
          <w:szCs w:val="28"/>
        </w:rPr>
        <w:t xml:space="preserve">. </w:t>
      </w:r>
      <w:r>
        <w:rPr>
          <w:rFonts w:hint="eastAsia" w:ascii="仿宋" w:hAnsi="仿宋" w:eastAsia="仿宋"/>
          <w:w w:val="110"/>
          <w:sz w:val="28"/>
          <w:szCs w:val="28"/>
        </w:rPr>
        <w:t>学位点</w:t>
      </w:r>
      <w:r>
        <w:rPr>
          <w:rFonts w:hint="eastAsia" w:ascii="仿宋" w:hAnsi="仿宋" w:eastAsia="仿宋"/>
          <w:sz w:val="28"/>
          <w:szCs w:val="28"/>
        </w:rPr>
        <w:t>文化</w:t>
      </w:r>
      <w:r>
        <w:rPr>
          <w:rFonts w:hint="eastAsia" w:ascii="仿宋" w:hAnsi="仿宋" w:eastAsia="仿宋"/>
          <w:w w:val="110"/>
          <w:sz w:val="28"/>
          <w:szCs w:val="28"/>
        </w:rPr>
        <w:t>建设情况</w:t>
      </w:r>
      <w:bookmarkEnd w:id="20"/>
    </w:p>
    <w:bookmarkEnd w:id="21"/>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 xml:space="preserve">本年度全面落实立德树人根本任务，将立德树人具化为培养学生经世济民情怀，着力构建一体化育人体系，形成思政教育大格局。 </w:t>
      </w:r>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 xml:space="preserve">（1）衔接“课内课外”，创新课程思政改革。推行“问题导向+学理剖析”课程教学模式，建立“思政课+专业课+通识课”的大思政课程育人体系。依托“精准扶贫首倡地”区位优势，从“传统文化+国家战略+经济伦理”三维度挖掘课程思政元素，将专业知识传授、科学精神养成、学术理想培养有机融合。打造“三季育人”品牌，“新生季”环境熏陶新生“享温暖、增认同、转身份”，“学习季”课程引导学生“受启发、传价值、导言行”，“毕业季”实践历练学生“树理想、明责任、勇担当”。 </w:t>
      </w:r>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2</w:t>
      </w:r>
      <w:r>
        <w:rPr>
          <w:rFonts w:hint="eastAsia" w:ascii="仿宋" w:hAnsi="仿宋" w:eastAsia="仿宋"/>
          <w:spacing w:val="-7"/>
          <w:w w:val="110"/>
          <w:sz w:val="28"/>
          <w:szCs w:val="28"/>
        </w:rPr>
        <w:t xml:space="preserve">）打造“三个文化”，推进社会实践开展。打造“弘扬红色文化”实践活动，依托“灯塔学子”志愿服务、“青年红色筑梦之旅”活动，开展红色实践，传承红色基因。实施“传承传统文化”实践活动，依托五四歌咏比赛、武陵风情风俗走访活动等，传承传统文化。开展“打造职业文化”实践活动，依托“千村大调查”“贫困县退出第三方评估”等，打造职业文化。 </w:t>
      </w:r>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3</w:t>
      </w:r>
      <w:r>
        <w:rPr>
          <w:rFonts w:hint="eastAsia" w:ascii="仿宋" w:hAnsi="仿宋" w:eastAsia="仿宋"/>
          <w:spacing w:val="-7"/>
          <w:w w:val="110"/>
          <w:sz w:val="28"/>
          <w:szCs w:val="28"/>
        </w:rPr>
        <w:t xml:space="preserve">）管控“线上+线下”，筑牢意识形态阵地。依托“吉大商学院”“研经商思”公众号和“易班网”等线上思政教育平台，制定《网站群平台管理办法》《新媒体平台管理办法》，加强线上宣传阵地管控。严格执行“一会一报”“一事一报”制度；严格出版物“三审三校”制度，加强教材、教辅资料、学生论文的内容审查，加强线下宣传阵地监管。 </w:t>
      </w:r>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4</w:t>
      </w:r>
      <w:r>
        <w:rPr>
          <w:rFonts w:hint="eastAsia" w:ascii="仿宋" w:hAnsi="仿宋" w:eastAsia="仿宋"/>
          <w:spacing w:val="-7"/>
          <w:w w:val="110"/>
          <w:sz w:val="28"/>
          <w:szCs w:val="28"/>
        </w:rPr>
        <w:t>）加强思想引领，让政治建设强起来。在人才引进、导师评聘、职称评定中把师德师风作为首要标准，依托“十八洞村”讲好中国脱贫故事。聚焦组织建设，让作用发挥强起来。落实“党支部+”工作方案，夯实党支部支撑学科发展着力点。聚焦人才建设，让支部书记强起来。把支部书记作为人才储备进行培养，选拔优秀“双带头人”。在新疫情形势下，实施四级包联制度，让学生状态信息及时、准确反馈到学校、学院和学位点，以便于正确应对各类突发事件。</w:t>
      </w:r>
    </w:p>
    <w:p>
      <w:pPr>
        <w:pStyle w:val="6"/>
        <w:snapToGrid w:val="0"/>
        <w:spacing w:before="0" w:after="0" w:line="360" w:lineRule="auto"/>
        <w:ind w:firstLine="618" w:firstLineChars="200"/>
        <w:rPr>
          <w:rFonts w:ascii="仿宋" w:hAnsi="仿宋" w:eastAsia="仿宋"/>
          <w:w w:val="110"/>
          <w:sz w:val="28"/>
          <w:szCs w:val="28"/>
        </w:rPr>
      </w:pPr>
      <w:bookmarkStart w:id="22" w:name="_Hlk92202121"/>
      <w:bookmarkStart w:id="23" w:name="_Toc92275541"/>
      <w:r>
        <w:rPr>
          <w:rFonts w:hint="eastAsia" w:ascii="仿宋" w:hAnsi="仿宋" w:eastAsia="仿宋"/>
          <w:w w:val="110"/>
          <w:sz w:val="28"/>
          <w:szCs w:val="28"/>
        </w:rPr>
        <w:t>4</w:t>
      </w:r>
      <w:r>
        <w:rPr>
          <w:rFonts w:ascii="仿宋" w:hAnsi="仿宋" w:eastAsia="仿宋"/>
          <w:w w:val="110"/>
          <w:sz w:val="28"/>
          <w:szCs w:val="28"/>
        </w:rPr>
        <w:t xml:space="preserve">. </w:t>
      </w:r>
      <w:r>
        <w:rPr>
          <w:rFonts w:hint="eastAsia" w:ascii="仿宋" w:hAnsi="仿宋" w:eastAsia="仿宋"/>
          <w:w w:val="110"/>
          <w:sz w:val="28"/>
          <w:szCs w:val="28"/>
        </w:rPr>
        <w:t>学位点日常</w:t>
      </w:r>
      <w:r>
        <w:rPr>
          <w:rFonts w:hint="eastAsia" w:ascii="仿宋" w:hAnsi="仿宋" w:eastAsia="仿宋"/>
          <w:sz w:val="28"/>
          <w:szCs w:val="28"/>
        </w:rPr>
        <w:t>管理</w:t>
      </w:r>
      <w:r>
        <w:rPr>
          <w:rFonts w:hint="eastAsia" w:ascii="仿宋" w:hAnsi="仿宋" w:eastAsia="仿宋"/>
          <w:w w:val="110"/>
          <w:sz w:val="28"/>
          <w:szCs w:val="28"/>
        </w:rPr>
        <w:t>、服务工作情况</w:t>
      </w:r>
      <w:bookmarkEnd w:id="22"/>
      <w:bookmarkEnd w:id="23"/>
    </w:p>
    <w:p>
      <w:pPr>
        <w:pStyle w:val="7"/>
        <w:tabs>
          <w:tab w:val="left" w:pos="8280"/>
        </w:tabs>
        <w:snapToGrid w:val="0"/>
        <w:spacing w:after="0" w:line="360" w:lineRule="auto"/>
        <w:ind w:right="26" w:firstLine="588" w:firstLineChars="200"/>
        <w:rPr>
          <w:rFonts w:ascii="仿宋" w:hAnsi="仿宋" w:eastAsia="仿宋"/>
          <w:spacing w:val="-7"/>
          <w:w w:val="110"/>
          <w:sz w:val="28"/>
          <w:szCs w:val="28"/>
        </w:rPr>
      </w:pPr>
      <w:r>
        <w:rPr>
          <w:rFonts w:hint="eastAsia" w:ascii="仿宋" w:hAnsi="仿宋" w:eastAsia="仿宋"/>
          <w:spacing w:val="-7"/>
          <w:w w:val="110"/>
          <w:sz w:val="28"/>
          <w:szCs w:val="28"/>
        </w:rPr>
        <w:t>学位点积极组织研究生开展各种主题活动，本年度共组织或参加元旦晚会、毕业晚会、湖南省第十届高校研究生英语翻译大赛、英语演讲大赛、研究生辩论赛、正大杯第十二届全国大学生市场调查与分析大赛湖南赛区研究生选拔赛、第七届湖南省高校MBA企业案例大赛、2022年全国高校商业精英挑战赛“精创教育杯”、第七届湖南省研究生MPAcc企业案例大赛、第八届“东方财富杯”全国大学生金融挑站赛、第二届湖南省研究生金融案例分析大赛等丰富校园文化生活、增加专业素养的系列活动，且都有较好的成绩。获第七届湖南省高校MBA企业案例大赛团体二等奖1项，2022年“精创教育杯”全国高校商业精英挑战赛获团体二、三等奖各1项，正大杯第十二届全国大学生市场调查与分析大赛湖南赛区研究生选拔赛获团体二等奖2项，第二届湖南省高校MPAcc企业案例大赛获团体三等奖1项，第二届湖南省研究生金融案例分析大赛获团体二奖2项、三等奖3项（表3）。</w:t>
      </w:r>
    </w:p>
    <w:p>
      <w:pPr>
        <w:pStyle w:val="7"/>
        <w:tabs>
          <w:tab w:val="left" w:pos="8280"/>
        </w:tabs>
        <w:snapToGrid w:val="0"/>
        <w:spacing w:after="0" w:line="360" w:lineRule="auto"/>
        <w:ind w:right="26" w:firstLine="590" w:firstLineChars="200"/>
        <w:rPr>
          <w:rFonts w:ascii="仿宋" w:hAnsi="仿宋" w:eastAsia="仿宋"/>
          <w:spacing w:val="-7"/>
          <w:w w:val="110"/>
          <w:sz w:val="28"/>
          <w:szCs w:val="28"/>
        </w:rPr>
      </w:pPr>
      <w:r>
        <w:rPr>
          <w:rFonts w:hint="eastAsia" w:ascii="仿宋" w:hAnsi="仿宋" w:eastAsia="仿宋"/>
          <w:b/>
          <w:bCs/>
          <w:spacing w:val="-7"/>
          <w:w w:val="110"/>
          <w:sz w:val="28"/>
          <w:szCs w:val="28"/>
        </w:rPr>
        <w:t>表3  2022年研究生学科竞赛获奖情况统计表（部分）</w:t>
      </w:r>
    </w:p>
    <w:tbl>
      <w:tblPr>
        <w:tblStyle w:val="13"/>
        <w:tblW w:w="4873" w:type="pct"/>
        <w:tblInd w:w="0" w:type="dxa"/>
        <w:tblLayout w:type="fixed"/>
        <w:tblCellMar>
          <w:top w:w="0" w:type="dxa"/>
          <w:left w:w="108" w:type="dxa"/>
          <w:bottom w:w="0" w:type="dxa"/>
          <w:right w:w="108" w:type="dxa"/>
        </w:tblCellMar>
      </w:tblPr>
      <w:tblGrid>
        <w:gridCol w:w="592"/>
        <w:gridCol w:w="1674"/>
        <w:gridCol w:w="1286"/>
        <w:gridCol w:w="635"/>
        <w:gridCol w:w="2100"/>
        <w:gridCol w:w="709"/>
        <w:gridCol w:w="744"/>
        <w:gridCol w:w="566"/>
      </w:tblGrid>
      <w:tr>
        <w:tblPrEx>
          <w:tblCellMar>
            <w:top w:w="0" w:type="dxa"/>
            <w:left w:w="108" w:type="dxa"/>
            <w:bottom w:w="0" w:type="dxa"/>
            <w:right w:w="108" w:type="dxa"/>
          </w:tblCellMar>
        </w:tblPrEx>
        <w:trPr>
          <w:trHeight w:val="5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序号</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获奖项目名称</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参赛学生</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指导教师</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奖励授予单位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获奖等级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获奖时间</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获奖类别</w:t>
            </w:r>
          </w:p>
        </w:tc>
      </w:tr>
      <w:tr>
        <w:tblPrEx>
          <w:tblCellMar>
            <w:top w:w="0" w:type="dxa"/>
            <w:left w:w="108" w:type="dxa"/>
            <w:bottom w:w="0" w:type="dxa"/>
            <w:right w:w="108" w:type="dxa"/>
          </w:tblCellMar>
        </w:tblPrEx>
        <w:trPr>
          <w:trHeight w:val="7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正大杯第十二届全国大学生市场调查与分析大赛湖南赛区研究生选拔赛</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邱玉、文静、张婧婷、黄丽、李仕玉</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张琰飞</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中国商业统计学会、全国大学生市场调查与分析大赛组委会</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省级二等奖</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2022年4月</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团体</w:t>
            </w:r>
          </w:p>
        </w:tc>
      </w:tr>
      <w:tr>
        <w:tblPrEx>
          <w:tblCellMar>
            <w:top w:w="0" w:type="dxa"/>
            <w:left w:w="108" w:type="dxa"/>
            <w:bottom w:w="0" w:type="dxa"/>
            <w:right w:w="108" w:type="dxa"/>
          </w:tblCellMar>
        </w:tblPrEx>
        <w:trPr>
          <w:trHeight w:val="8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正大杯第十二届全国大学生市场调查与分析大赛湖南赛区研究生选拔赛</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曾媛媛、赵丽芳、郭靓、刘艺璇、周方</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张琰飞、龙海军</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中国商业统计学会、全国大学生市场调查与分析大赛组委会</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省级二等奖</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2022年4月</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团体</w:t>
            </w:r>
          </w:p>
        </w:tc>
      </w:tr>
      <w:tr>
        <w:tblPrEx>
          <w:tblCellMar>
            <w:top w:w="0" w:type="dxa"/>
            <w:left w:w="108" w:type="dxa"/>
            <w:bottom w:w="0" w:type="dxa"/>
            <w:right w:w="108" w:type="dxa"/>
          </w:tblCellMar>
        </w:tblPrEx>
        <w:trPr>
          <w:trHeight w:val="8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第七届湖南省高校MBA企业案例大赛</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岳佳璇、郭潇姣、张亚婷、程慧慧、谈群、刘贤、龚涵涛、张婷婷、万航</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于正东、李湘玲</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湖南省教育厅</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省级二等奖</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2022年6月</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团体</w:t>
            </w:r>
          </w:p>
        </w:tc>
      </w:tr>
      <w:tr>
        <w:tblPrEx>
          <w:tblCellMar>
            <w:top w:w="0" w:type="dxa"/>
            <w:left w:w="108" w:type="dxa"/>
            <w:bottom w:w="0" w:type="dxa"/>
            <w:right w:w="108"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2022年全国高校商业精英挑战赛“精创教育杯”</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张一帆、刘付颖</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蒋辉、张怀英</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中国国际贸易促进委员会商业行业委员会、中国国际商会商业行业商会、商业国际合作交流培训中心、中国商业经济学会</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国家二等奖</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2022年7月</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团体</w:t>
            </w:r>
          </w:p>
        </w:tc>
      </w:tr>
      <w:tr>
        <w:tblPrEx>
          <w:tblCellMar>
            <w:top w:w="0" w:type="dxa"/>
            <w:left w:w="108" w:type="dxa"/>
            <w:bottom w:w="0" w:type="dxa"/>
            <w:right w:w="108" w:type="dxa"/>
          </w:tblCellMar>
        </w:tblPrEx>
        <w:trPr>
          <w:trHeight w:val="8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第二届湖南省研究生MPacc案例大赛</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张一帆、唐宇婧、彭慧林、蔡锦龙、李莉、梅素仪</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朱海英、高锐思</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湖南省教育厅</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省级三等奖</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2022年7月</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团体</w:t>
            </w:r>
          </w:p>
        </w:tc>
      </w:tr>
      <w:tr>
        <w:tblPrEx>
          <w:tblCellMar>
            <w:top w:w="0" w:type="dxa"/>
            <w:left w:w="108" w:type="dxa"/>
            <w:bottom w:w="0" w:type="dxa"/>
            <w:right w:w="108" w:type="dxa"/>
          </w:tblCellMar>
        </w:tblPrEx>
        <w:trPr>
          <w:trHeight w:val="8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第八届“东方财富杯”全国大学生金融挑站赛</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宁来雨、马文祥、张阳阳</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钟高峥</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共青团中央青年发展部、东方财富信息股份有限公司</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省级二等奖</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2022年8月</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团体</w:t>
            </w:r>
          </w:p>
        </w:tc>
      </w:tr>
      <w:tr>
        <w:tblPrEx>
          <w:tblCellMar>
            <w:top w:w="0" w:type="dxa"/>
            <w:left w:w="108" w:type="dxa"/>
            <w:bottom w:w="0" w:type="dxa"/>
            <w:right w:w="108" w:type="dxa"/>
          </w:tblCellMar>
        </w:tblPrEx>
        <w:trPr>
          <w:trHeight w:val="8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第八届“东方财富杯”全国大学生金融挑站赛</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周洁、周丽娜、张术</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钟高峥</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共青团中央青年发展部、东方财富信息股份有限公司</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省级一等奖</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2022年8月</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团体</w:t>
            </w:r>
          </w:p>
        </w:tc>
      </w:tr>
      <w:tr>
        <w:tblPrEx>
          <w:tblCellMar>
            <w:top w:w="0" w:type="dxa"/>
            <w:left w:w="108" w:type="dxa"/>
            <w:bottom w:w="0" w:type="dxa"/>
            <w:right w:w="108" w:type="dxa"/>
          </w:tblCellMar>
        </w:tblPrEx>
        <w:trPr>
          <w:trHeight w:val="8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2022年全国高校商业精英挑战赛“精创教育杯”</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郭彦、谈群、刘付颖</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蒋辉、欧阳胜</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中国国际贸易促进委员会商业行业委员会、中国国际商会商业行业商会、商业国际合作交流培训中心、中国商业经济学会</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国家三等奖</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2022年10月</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团体</w:t>
            </w:r>
          </w:p>
        </w:tc>
      </w:tr>
      <w:tr>
        <w:tblPrEx>
          <w:tblCellMar>
            <w:top w:w="0" w:type="dxa"/>
            <w:left w:w="108" w:type="dxa"/>
            <w:bottom w:w="0" w:type="dxa"/>
            <w:right w:w="108" w:type="dxa"/>
          </w:tblCellMar>
        </w:tblPrEx>
        <w:trPr>
          <w:trHeight w:val="8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第二届湖南省研究生金融案例分析大赛</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李朝、梅素仪、谢婷婷、邓心宇、高泳鸿</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黄利文</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湖南省教育厅</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省级三等奖</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2022年12月</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团体</w:t>
            </w:r>
          </w:p>
        </w:tc>
      </w:tr>
      <w:tr>
        <w:tblPrEx>
          <w:tblCellMar>
            <w:top w:w="0" w:type="dxa"/>
            <w:left w:w="108" w:type="dxa"/>
            <w:bottom w:w="0" w:type="dxa"/>
            <w:right w:w="108" w:type="dxa"/>
          </w:tblCellMar>
        </w:tblPrEx>
        <w:trPr>
          <w:trHeight w:val="8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第二届湖南省研究生金融案例分析大赛</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廖惠、彭慧林、陈霞、何婷、李林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李琼、黄利文</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湖南省教育厅</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省级三等奖</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2022年12月</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团体</w:t>
            </w:r>
          </w:p>
        </w:tc>
      </w:tr>
      <w:tr>
        <w:tblPrEx>
          <w:tblCellMar>
            <w:top w:w="0" w:type="dxa"/>
            <w:left w:w="108" w:type="dxa"/>
            <w:bottom w:w="0" w:type="dxa"/>
            <w:right w:w="108" w:type="dxa"/>
          </w:tblCellMar>
        </w:tblPrEx>
        <w:trPr>
          <w:trHeight w:val="8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第二届湖南省研究生金融案例分析大赛</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赵家阅、姚精鸽、蒋佩瑶、周小巍、陈爽媛</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黄利文、张霞</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湖南省教育厅</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省级三等奖</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2022年12月</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团体</w:t>
            </w:r>
          </w:p>
        </w:tc>
      </w:tr>
      <w:tr>
        <w:tblPrEx>
          <w:tblCellMar>
            <w:top w:w="0" w:type="dxa"/>
            <w:left w:w="108" w:type="dxa"/>
            <w:bottom w:w="0" w:type="dxa"/>
            <w:right w:w="108" w:type="dxa"/>
          </w:tblCellMar>
        </w:tblPrEx>
        <w:trPr>
          <w:trHeight w:val="8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第二届湖南省研究生金融案例分析大赛</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翟亚琦、杜娟、李欣雨、杨小芳、袁小燕</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张琰飞</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湖南省教育厅</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省级三等奖</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2022年12月</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团体</w:t>
            </w:r>
          </w:p>
        </w:tc>
      </w:tr>
      <w:tr>
        <w:tblPrEx>
          <w:tblCellMar>
            <w:top w:w="0" w:type="dxa"/>
            <w:left w:w="108" w:type="dxa"/>
            <w:bottom w:w="0" w:type="dxa"/>
            <w:right w:w="108" w:type="dxa"/>
          </w:tblCellMar>
        </w:tblPrEx>
        <w:trPr>
          <w:trHeight w:val="840" w:hRule="atLeast"/>
        </w:trPr>
        <w:tc>
          <w:tcPr>
            <w:tcW w:w="35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13</w:t>
            </w:r>
          </w:p>
        </w:tc>
        <w:tc>
          <w:tcPr>
            <w:tcW w:w="100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第二届湖南省研究生金融案例分析大赛</w:t>
            </w:r>
          </w:p>
        </w:tc>
        <w:tc>
          <w:tcPr>
            <w:tcW w:w="77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程意栋、夏涛、龚涵涛、岳佳璇、冯美珠</w:t>
            </w:r>
          </w:p>
        </w:tc>
        <w:tc>
          <w:tcPr>
            <w:tcW w:w="38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于正东、龙海军</w:t>
            </w:r>
          </w:p>
        </w:tc>
        <w:tc>
          <w:tcPr>
            <w:tcW w:w="126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湖南省教育厅</w:t>
            </w:r>
          </w:p>
        </w:tc>
        <w:tc>
          <w:tcPr>
            <w:tcW w:w="427"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省级二等奖</w:t>
            </w:r>
          </w:p>
        </w:tc>
        <w:tc>
          <w:tcPr>
            <w:tcW w:w="44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2022年12月</w:t>
            </w:r>
          </w:p>
        </w:tc>
        <w:tc>
          <w:tcPr>
            <w:tcW w:w="34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团体</w:t>
            </w:r>
          </w:p>
        </w:tc>
      </w:tr>
      <w:tr>
        <w:tblPrEx>
          <w:tblCellMar>
            <w:top w:w="0" w:type="dxa"/>
            <w:left w:w="108" w:type="dxa"/>
            <w:bottom w:w="0" w:type="dxa"/>
            <w:right w:w="108" w:type="dxa"/>
          </w:tblCellMar>
        </w:tblPrEx>
        <w:trPr>
          <w:trHeight w:val="8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14</w:t>
            </w:r>
          </w:p>
        </w:tc>
        <w:tc>
          <w:tcPr>
            <w:tcW w:w="10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第二届湖南省研究生金融案例分析大赛</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谢抒涵、刘倩、吴保林、刘恒宇、李鑫雯</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张琰飞、朱海英</w:t>
            </w:r>
          </w:p>
        </w:tc>
        <w:tc>
          <w:tcPr>
            <w:tcW w:w="126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湖南省教育厅</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省级二等奖</w:t>
            </w:r>
          </w:p>
        </w:tc>
        <w:tc>
          <w:tcPr>
            <w:tcW w:w="4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2022年12月</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团体</w:t>
            </w:r>
          </w:p>
        </w:tc>
      </w:tr>
    </w:tbl>
    <w:p>
      <w:pPr>
        <w:pStyle w:val="7"/>
        <w:tabs>
          <w:tab w:val="left" w:pos="8280"/>
        </w:tabs>
        <w:snapToGrid w:val="0"/>
        <w:spacing w:after="0" w:line="360" w:lineRule="auto"/>
        <w:ind w:right="26" w:firstLine="588" w:firstLineChars="200"/>
        <w:rPr>
          <w:rFonts w:ascii="仿宋" w:hAnsi="仿宋" w:eastAsia="仿宋"/>
          <w:spacing w:val="-7"/>
          <w:w w:val="110"/>
          <w:sz w:val="28"/>
          <w:szCs w:val="28"/>
        </w:rPr>
      </w:pPr>
    </w:p>
    <w:p>
      <w:pPr>
        <w:pStyle w:val="5"/>
        <w:snapToGrid w:val="0"/>
        <w:spacing w:before="0" w:after="0" w:line="360" w:lineRule="auto"/>
        <w:rPr>
          <w:rFonts w:ascii="黑体" w:hAnsi="黑体" w:eastAsia="黑体"/>
          <w:b w:val="0"/>
          <w:bCs w:val="0"/>
        </w:rPr>
      </w:pPr>
      <w:bookmarkStart w:id="24" w:name="_Toc92275542"/>
      <w:r>
        <w:rPr>
          <w:rFonts w:hint="eastAsia" w:ascii="黑体" w:hAnsi="黑体" w:eastAsia="黑体"/>
          <w:b w:val="0"/>
          <w:bCs w:val="0"/>
        </w:rPr>
        <w:t>三、研究生培养相关制度及执行情况</w:t>
      </w:r>
      <w:bookmarkEnd w:id="24"/>
    </w:p>
    <w:p>
      <w:pPr>
        <w:pStyle w:val="6"/>
        <w:snapToGrid w:val="0"/>
        <w:spacing w:before="0" w:after="0" w:line="360" w:lineRule="auto"/>
        <w:ind w:firstLine="618" w:firstLineChars="200"/>
        <w:rPr>
          <w:rFonts w:ascii="仿宋" w:hAnsi="仿宋" w:eastAsia="仿宋"/>
          <w:w w:val="110"/>
          <w:sz w:val="28"/>
          <w:szCs w:val="28"/>
        </w:rPr>
      </w:pPr>
      <w:bookmarkStart w:id="25" w:name="_Toc92275543"/>
      <w:bookmarkStart w:id="26" w:name="_Hlk92202224"/>
      <w:r>
        <w:rPr>
          <w:rFonts w:hint="eastAsia" w:ascii="仿宋" w:hAnsi="仿宋" w:eastAsia="仿宋"/>
          <w:w w:val="110"/>
          <w:sz w:val="28"/>
          <w:szCs w:val="28"/>
        </w:rPr>
        <w:t>1</w:t>
      </w:r>
      <w:r>
        <w:rPr>
          <w:rFonts w:ascii="仿宋" w:hAnsi="仿宋" w:eastAsia="仿宋"/>
          <w:w w:val="110"/>
          <w:sz w:val="28"/>
          <w:szCs w:val="28"/>
        </w:rPr>
        <w:t xml:space="preserve">. </w:t>
      </w:r>
      <w:r>
        <w:rPr>
          <w:rFonts w:hint="eastAsia" w:ascii="仿宋" w:hAnsi="仿宋" w:eastAsia="仿宋"/>
          <w:w w:val="110"/>
          <w:sz w:val="28"/>
          <w:szCs w:val="28"/>
        </w:rPr>
        <w:t>课程建设与实施情况</w:t>
      </w:r>
      <w:bookmarkEnd w:id="25"/>
    </w:p>
    <w:bookmarkEnd w:id="26"/>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以立德树人为根本，面向中西部地区企事业单位人才需要，坚持内涵式发展，推动思想政治教育、创新创业教育与专业教育深度融合，将“新商科”与“新文科”人才理念全方位深层次融入工商管理人才培养全过程，培养知国情、有道德、善管理、敢创业的工商管理高级专门人才。对照“新商科”和思政教育要求，构建多学科交叉的课程框架体系，建成“大数据素养”“特色资源开发管理”“减贫与发展”课程群。同时开发本土课程资源，打造一流课程教学内容。聚焦贫困地区工商管理学生学科知识、职业素质培养，充分开发已出版《贫困地区创业管理案例》《欠发达地区创业》《金字塔底层创业》《中国连片特困区发展报告》《旅游文化学导论》等本土特色教辅教材在研究生教育教学中的应用。在方法上深入推进课堂教学改革，实施一流课程教学模式。</w:t>
      </w:r>
      <w:r>
        <w:rPr>
          <w:rFonts w:ascii="仿宋" w:hAnsi="仿宋" w:eastAsia="仿宋"/>
        </w:rPr>
        <w:t xml:space="preserve">  </w:t>
      </w:r>
      <w:r>
        <w:rPr>
          <w:rFonts w:hint="eastAsia" w:ascii="仿宋" w:hAnsi="仿宋" w:eastAsia="仿宋"/>
          <w:spacing w:val="-7"/>
          <w:w w:val="110"/>
          <w:sz w:val="28"/>
          <w:szCs w:val="28"/>
        </w:rPr>
        <w:t>推动互联网、大数据等现代技术在课堂教学中的应用，构建“互联网+专业教育”智能课堂教学模式；要求所有课程都建成了课程网站，支持任课教师开展在线教学。依托本土课程资源开展案例研讨式教学，推行以能力培养为导向、以问题探究为中心的“教师引导-学生参与”式研究性教学体系。把教学质量作为职称评聘首要标准，开展教学型教授、副教授评聘；改革年终绩效分配，把参与教研活动、编写教材案例、指导学生创新创业训练等计入工作量；实施“教学督导+学生”评教制度，并将评价结果与年终绩效分配挂钩。2022级研究生开始按照方向选课，强化人才培养的方向特色。</w:t>
      </w:r>
    </w:p>
    <w:p>
      <w:pPr>
        <w:pStyle w:val="6"/>
        <w:snapToGrid w:val="0"/>
        <w:spacing w:before="0" w:after="0" w:line="360" w:lineRule="auto"/>
        <w:ind w:firstLine="618" w:firstLineChars="200"/>
        <w:rPr>
          <w:rFonts w:ascii="仿宋" w:hAnsi="仿宋" w:eastAsia="仿宋"/>
          <w:w w:val="110"/>
          <w:sz w:val="28"/>
          <w:szCs w:val="28"/>
        </w:rPr>
      </w:pPr>
      <w:bookmarkStart w:id="27" w:name="_Toc92275544"/>
      <w:bookmarkStart w:id="28" w:name="_Hlk92202233"/>
      <w:r>
        <w:rPr>
          <w:rFonts w:ascii="仿宋" w:hAnsi="仿宋" w:eastAsia="仿宋"/>
          <w:w w:val="110"/>
          <w:sz w:val="28"/>
          <w:szCs w:val="28"/>
        </w:rPr>
        <w:t xml:space="preserve">2. </w:t>
      </w:r>
      <w:r>
        <w:rPr>
          <w:rFonts w:hint="eastAsia" w:ascii="仿宋" w:hAnsi="仿宋" w:eastAsia="仿宋"/>
          <w:w w:val="110"/>
          <w:sz w:val="28"/>
          <w:szCs w:val="28"/>
        </w:rPr>
        <w:t>导师选拔与</w:t>
      </w:r>
      <w:r>
        <w:rPr>
          <w:rFonts w:hint="eastAsia" w:ascii="仿宋" w:hAnsi="仿宋" w:eastAsia="仿宋"/>
          <w:sz w:val="28"/>
          <w:szCs w:val="28"/>
        </w:rPr>
        <w:t>培训</w:t>
      </w:r>
      <w:r>
        <w:rPr>
          <w:rFonts w:hint="eastAsia" w:ascii="仿宋" w:hAnsi="仿宋" w:eastAsia="仿宋"/>
          <w:w w:val="110"/>
          <w:sz w:val="28"/>
          <w:szCs w:val="28"/>
        </w:rPr>
        <w:t>情况</w:t>
      </w:r>
      <w:bookmarkEnd w:id="27"/>
      <w:r>
        <w:rPr>
          <w:rFonts w:hint="eastAsia" w:ascii="仿宋" w:hAnsi="仿宋" w:eastAsia="仿宋"/>
          <w:w w:val="110"/>
          <w:sz w:val="28"/>
          <w:szCs w:val="28"/>
        </w:rPr>
        <w:t xml:space="preserve"> </w:t>
      </w:r>
      <w:bookmarkEnd w:id="28"/>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学位点按照研究生导师的立德树人职责及三全育人标准对导师展开培训。本年度新增1名校内硕士生导师已培训合格上岗，学位点所有硕士生导师每年均定期参加了学校和学位点组织的培训。</w:t>
      </w:r>
    </w:p>
    <w:p>
      <w:pPr>
        <w:pStyle w:val="6"/>
        <w:snapToGrid w:val="0"/>
        <w:spacing w:before="0" w:after="0" w:line="360" w:lineRule="auto"/>
        <w:ind w:firstLine="618" w:firstLineChars="200"/>
        <w:rPr>
          <w:rFonts w:ascii="仿宋" w:hAnsi="仿宋" w:eastAsia="仿宋" w:cs="宋体"/>
          <w:b w:val="0"/>
          <w:bCs w:val="0"/>
          <w:w w:val="115"/>
          <w:sz w:val="28"/>
          <w:szCs w:val="28"/>
        </w:rPr>
      </w:pPr>
      <w:bookmarkStart w:id="29" w:name="_Toc92275545"/>
      <w:bookmarkStart w:id="30" w:name="_Hlk92202299"/>
      <w:r>
        <w:rPr>
          <w:rFonts w:ascii="仿宋" w:hAnsi="仿宋" w:eastAsia="仿宋"/>
          <w:w w:val="110"/>
          <w:sz w:val="28"/>
          <w:szCs w:val="28"/>
        </w:rPr>
        <w:t xml:space="preserve">3. </w:t>
      </w:r>
      <w:r>
        <w:rPr>
          <w:rFonts w:hint="eastAsia" w:ascii="仿宋" w:hAnsi="仿宋" w:eastAsia="仿宋"/>
          <w:w w:val="110"/>
          <w:sz w:val="28"/>
          <w:szCs w:val="28"/>
        </w:rPr>
        <w:t>师德师风建设情况</w:t>
      </w:r>
      <w:bookmarkEnd w:id="29"/>
      <w:r>
        <w:rPr>
          <w:rFonts w:hint="eastAsia" w:ascii="仿宋" w:hAnsi="仿宋" w:eastAsia="仿宋" w:cs="宋体"/>
          <w:w w:val="115"/>
          <w:sz w:val="28"/>
          <w:szCs w:val="28"/>
        </w:rPr>
        <w:t xml:space="preserve"> </w:t>
      </w:r>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开展导师师德师风专题培训，要求导师对照研究生导师的立德树人职责做出自我评估，整改提高，实施师德师风一票否决制，全面落实师德师风建设相关标准与政策要求。</w:t>
      </w:r>
      <w:bookmarkEnd w:id="30"/>
      <w:bookmarkStart w:id="31" w:name="_Toc92275546"/>
      <w:bookmarkStart w:id="32" w:name="_Hlk92202307"/>
      <w:r>
        <w:rPr>
          <w:rFonts w:hint="eastAsia" w:ascii="仿宋" w:hAnsi="仿宋" w:eastAsia="仿宋"/>
          <w:spacing w:val="-7"/>
          <w:w w:val="110"/>
          <w:sz w:val="28"/>
          <w:szCs w:val="28"/>
        </w:rPr>
        <w:t>根据学校的相关要求，学位点认真开展了导师2</w:t>
      </w:r>
      <w:r>
        <w:rPr>
          <w:rFonts w:ascii="仿宋" w:hAnsi="仿宋" w:eastAsia="仿宋"/>
          <w:spacing w:val="-7"/>
          <w:w w:val="110"/>
          <w:sz w:val="28"/>
          <w:szCs w:val="28"/>
        </w:rPr>
        <w:t>02</w:t>
      </w:r>
      <w:r>
        <w:rPr>
          <w:rFonts w:hint="eastAsia" w:ascii="仿宋" w:hAnsi="仿宋" w:eastAsia="仿宋"/>
          <w:spacing w:val="-7"/>
          <w:w w:val="110"/>
          <w:sz w:val="28"/>
          <w:szCs w:val="28"/>
        </w:rPr>
        <w:t xml:space="preserve">2年度考核，明确了科研、教学和素养等各方面的综合要求：对于违反导师行为准则、考核周期内所指导学生出现学术造假或不端行为者，取消硕士研究生导师招生资格。 </w:t>
      </w:r>
    </w:p>
    <w:p>
      <w:pPr>
        <w:pStyle w:val="6"/>
        <w:snapToGrid w:val="0"/>
        <w:spacing w:before="0" w:after="0" w:line="360" w:lineRule="auto"/>
        <w:ind w:firstLine="618" w:firstLineChars="200"/>
        <w:rPr>
          <w:rFonts w:ascii="仿宋" w:hAnsi="仿宋" w:eastAsia="仿宋"/>
          <w:w w:val="110"/>
          <w:sz w:val="28"/>
          <w:szCs w:val="28"/>
        </w:rPr>
      </w:pPr>
      <w:r>
        <w:rPr>
          <w:rFonts w:hint="eastAsia" w:ascii="仿宋" w:hAnsi="仿宋" w:eastAsia="仿宋"/>
          <w:w w:val="110"/>
          <w:sz w:val="28"/>
          <w:szCs w:val="28"/>
        </w:rPr>
        <w:t>4</w:t>
      </w:r>
      <w:r>
        <w:rPr>
          <w:rFonts w:ascii="仿宋" w:hAnsi="仿宋" w:eastAsia="仿宋"/>
          <w:w w:val="110"/>
          <w:sz w:val="28"/>
          <w:szCs w:val="28"/>
        </w:rPr>
        <w:t xml:space="preserve">. </w:t>
      </w:r>
      <w:r>
        <w:rPr>
          <w:rFonts w:hint="eastAsia" w:ascii="仿宋" w:hAnsi="仿宋" w:eastAsia="仿宋"/>
          <w:w w:val="110"/>
          <w:sz w:val="28"/>
          <w:szCs w:val="28"/>
        </w:rPr>
        <w:t>学术训练情况</w:t>
      </w:r>
      <w:bookmarkEnd w:id="31"/>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学位点每月利用周末的时间定期为研究生举办“风雨湖大讲堂”，由学位点的外聘专家、本校教授、具有博士学位（或博士在读）的青年教师主要讲授，研究生们踊跃发言，其他老师点评或补充，每堂至少有3-4名具有博士学位或在读的博士教师到场参与点评，研究生参与热情很高，具体内容在微信公众号“研经商思”——风雨湖大讲堂内详细报导。</w:t>
      </w:r>
    </w:p>
    <w:p>
      <w:pPr>
        <w:snapToGrid w:val="0"/>
        <w:spacing w:line="360" w:lineRule="auto"/>
        <w:ind w:firstLine="588" w:firstLineChars="200"/>
        <w:jc w:val="left"/>
        <w:rPr>
          <w:rFonts w:ascii="仿宋" w:hAnsi="仿宋" w:eastAsia="仿宋"/>
          <w:spacing w:val="-7"/>
          <w:w w:val="110"/>
          <w:sz w:val="28"/>
          <w:szCs w:val="28"/>
        </w:rPr>
      </w:pPr>
      <w:bookmarkStart w:id="33" w:name="_Hlk127735302"/>
      <w:r>
        <w:rPr>
          <w:rFonts w:hint="eastAsia" w:ascii="仿宋" w:hAnsi="仿宋" w:eastAsia="仿宋"/>
          <w:spacing w:val="-7"/>
          <w:w w:val="110"/>
          <w:sz w:val="28"/>
          <w:szCs w:val="28"/>
        </w:rPr>
        <w:t>“村镇银行发展与治理创新”研究生培养创新基地顺利通过验收。</w:t>
      </w:r>
      <w:bookmarkEnd w:id="33"/>
      <w:r>
        <w:rPr>
          <w:rFonts w:hint="eastAsia" w:ascii="仿宋" w:hAnsi="仿宋" w:eastAsia="仿宋"/>
          <w:spacing w:val="-7"/>
          <w:w w:val="110"/>
          <w:sz w:val="28"/>
          <w:szCs w:val="28"/>
        </w:rPr>
        <w:t>学位点举办了以研究生主讲的以每学期双周周二晚上为固定时间的研究生沙龙“齐鲁研论”，每堂之少有2-3名具有博士学位或在读博士教师到场参与点评，研究生们踊跃发言，其他老师点评或补充，具体内容通过“研经商思”微信公众号详细报导。</w:t>
      </w:r>
    </w:p>
    <w:bookmarkEnd w:id="32"/>
    <w:p>
      <w:pPr>
        <w:pStyle w:val="6"/>
        <w:snapToGrid w:val="0"/>
        <w:spacing w:before="0" w:after="0" w:line="360" w:lineRule="auto"/>
        <w:ind w:firstLine="618" w:firstLineChars="200"/>
        <w:rPr>
          <w:rFonts w:ascii="仿宋" w:hAnsi="仿宋" w:eastAsia="仿宋"/>
          <w:w w:val="110"/>
          <w:sz w:val="28"/>
          <w:szCs w:val="28"/>
        </w:rPr>
      </w:pPr>
      <w:bookmarkStart w:id="34" w:name="_Toc92275547"/>
      <w:bookmarkStart w:id="35" w:name="_Hlk92202332"/>
      <w:r>
        <w:rPr>
          <w:rFonts w:ascii="仿宋" w:hAnsi="仿宋" w:eastAsia="仿宋"/>
          <w:w w:val="110"/>
          <w:sz w:val="28"/>
          <w:szCs w:val="28"/>
        </w:rPr>
        <w:t xml:space="preserve">5. </w:t>
      </w:r>
      <w:r>
        <w:rPr>
          <w:rFonts w:hint="eastAsia" w:ascii="仿宋" w:hAnsi="仿宋" w:eastAsia="仿宋"/>
          <w:w w:val="110"/>
          <w:sz w:val="28"/>
          <w:szCs w:val="28"/>
        </w:rPr>
        <w:t>学术</w:t>
      </w:r>
      <w:r>
        <w:rPr>
          <w:rFonts w:hint="eastAsia" w:ascii="仿宋" w:hAnsi="仿宋" w:eastAsia="仿宋"/>
          <w:sz w:val="28"/>
          <w:szCs w:val="28"/>
        </w:rPr>
        <w:t>交流</w:t>
      </w:r>
      <w:r>
        <w:rPr>
          <w:rFonts w:hint="eastAsia" w:ascii="仿宋" w:hAnsi="仿宋" w:eastAsia="仿宋"/>
          <w:w w:val="110"/>
          <w:sz w:val="28"/>
          <w:szCs w:val="28"/>
        </w:rPr>
        <w:t>情况</w:t>
      </w:r>
      <w:bookmarkEnd w:id="34"/>
    </w:p>
    <w:bookmarkEnd w:id="35"/>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学位点积极开展学术报告，定期举办学术讲座，组织研究生参加省、地（市）经济学和管理学学术年会活动。学位点相关研究所和研究基地也能吸收研究生一起开展科研和学术交流活动，为研究生创造了较多的学术交流渠道。</w:t>
      </w:r>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本年度学位点不仅从中山大学、中央财经大学、江西财经大学等单位聘请了大量专家来校讲学，同时创造性地定期组织学位点在读研究生与优秀毕业研究生进行行科研交流，以保证优秀学术研究方法与氛围的传承。本年年度共邀请学位点毕业研究生现厦门大学博士研究生周宇、深圳大学博士研究生孟菲、同济大学博士研究生廖凯诚、天津财经大学博士研究生张晓丹等优秀学生与在校学生进行学术、学习交流，以保证优秀学术研究方法与氛围的传承。</w:t>
      </w:r>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本年度共举办、承办、参加了湖南省第十五届研究生创新论坛、湖南省西部综合开发研究会、2022年中国区域经济学会少数民族地区经济专业委员会年会、第八届高校研究生财经论坛暨2022年江苏省研究生学术创新论坛、第二届山东城市发展论坛、湖南省外国经济学说研究会2022年会、江西农业大学第十四届“惟义”学术论坛、中国技术经济学会第二十九届学术年会、中南林业科技大学2022年第一届绿色发展智库论坛、“正大杯”第十四届全国大学生市场调查与分析大赛线上公益培训等10余项国际、国内学术会议，共获学会优秀论文奖项3项（表4）。</w:t>
      </w:r>
    </w:p>
    <w:p>
      <w:pPr>
        <w:snapToGrid w:val="0"/>
        <w:spacing w:line="360" w:lineRule="auto"/>
        <w:ind w:firstLine="644" w:firstLineChars="200"/>
        <w:jc w:val="center"/>
        <w:rPr>
          <w:rFonts w:ascii="仿宋" w:hAnsi="仿宋" w:eastAsia="仿宋" w:cs="宋体"/>
          <w:w w:val="115"/>
          <w:sz w:val="28"/>
          <w:szCs w:val="28"/>
        </w:rPr>
      </w:pPr>
      <w:r>
        <w:rPr>
          <w:rFonts w:hint="eastAsia" w:ascii="仿宋" w:hAnsi="仿宋" w:eastAsia="仿宋" w:cs="宋体"/>
          <w:w w:val="115"/>
          <w:sz w:val="28"/>
          <w:szCs w:val="28"/>
        </w:rPr>
        <w:t>表4</w:t>
      </w:r>
      <w:r>
        <w:rPr>
          <w:rFonts w:ascii="仿宋" w:hAnsi="仿宋" w:eastAsia="仿宋" w:cs="宋体"/>
          <w:w w:val="115"/>
          <w:sz w:val="28"/>
          <w:szCs w:val="28"/>
        </w:rPr>
        <w:t xml:space="preserve"> </w:t>
      </w:r>
      <w:r>
        <w:rPr>
          <w:rFonts w:hint="eastAsia" w:ascii="仿宋" w:hAnsi="仿宋" w:eastAsia="仿宋" w:cs="宋体"/>
          <w:w w:val="115"/>
          <w:sz w:val="28"/>
          <w:szCs w:val="28"/>
        </w:rPr>
        <w:t>2022年学会论文获奖统计表（部分）</w:t>
      </w:r>
    </w:p>
    <w:tbl>
      <w:tblPr>
        <w:tblStyle w:val="13"/>
        <w:tblW w:w="8336" w:type="dxa"/>
        <w:tblInd w:w="0" w:type="dxa"/>
        <w:tblLayout w:type="fixed"/>
        <w:tblCellMar>
          <w:top w:w="0" w:type="dxa"/>
          <w:left w:w="0" w:type="dxa"/>
          <w:bottom w:w="0" w:type="dxa"/>
          <w:right w:w="0" w:type="dxa"/>
        </w:tblCellMar>
      </w:tblPr>
      <w:tblGrid>
        <w:gridCol w:w="1009"/>
        <w:gridCol w:w="3704"/>
        <w:gridCol w:w="1372"/>
        <w:gridCol w:w="2251"/>
      </w:tblGrid>
      <w:tr>
        <w:tblPrEx>
          <w:tblCellMar>
            <w:top w:w="0" w:type="dxa"/>
            <w:left w:w="0" w:type="dxa"/>
            <w:bottom w:w="0" w:type="dxa"/>
            <w:right w:w="0" w:type="dxa"/>
          </w:tblCellMar>
        </w:tblPrEx>
        <w:trPr>
          <w:trHeight w:val="57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360" w:lineRule="auto"/>
              <w:jc w:val="center"/>
              <w:textAlignment w:val="center"/>
              <w:rPr>
                <w:rFonts w:ascii="仿宋" w:hAnsi="仿宋" w:eastAsia="仿宋"/>
                <w:sz w:val="22"/>
                <w:szCs w:val="22"/>
              </w:rPr>
            </w:pPr>
            <w:r>
              <w:rPr>
                <w:rFonts w:hint="eastAsia" w:ascii="仿宋" w:hAnsi="仿宋" w:eastAsia="仿宋" w:cs="宋体"/>
                <w:sz w:val="24"/>
                <w:szCs w:val="24"/>
              </w:rPr>
              <w:t>姓名</w:t>
            </w:r>
          </w:p>
        </w:tc>
        <w:tc>
          <w:tcPr>
            <w:tcW w:w="3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ascii="仿宋" w:hAnsi="仿宋" w:eastAsia="仿宋"/>
                <w:sz w:val="22"/>
                <w:szCs w:val="22"/>
              </w:rPr>
            </w:pPr>
            <w:r>
              <w:rPr>
                <w:rFonts w:hint="eastAsia" w:ascii="仿宋" w:hAnsi="仿宋" w:eastAsia="仿宋" w:cs="宋体"/>
                <w:sz w:val="24"/>
                <w:szCs w:val="24"/>
              </w:rPr>
              <w:t>奖励名称</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360" w:lineRule="auto"/>
              <w:jc w:val="center"/>
              <w:textAlignment w:val="center"/>
              <w:rPr>
                <w:rFonts w:ascii="仿宋" w:hAnsi="仿宋" w:eastAsia="仿宋"/>
                <w:sz w:val="22"/>
                <w:szCs w:val="22"/>
              </w:rPr>
            </w:pPr>
            <w:r>
              <w:rPr>
                <w:rFonts w:hint="eastAsia" w:ascii="仿宋" w:hAnsi="仿宋" w:eastAsia="仿宋" w:cs="宋体"/>
                <w:sz w:val="24"/>
                <w:szCs w:val="24"/>
              </w:rPr>
              <w:t>获奖时间</w:t>
            </w:r>
          </w:p>
        </w:tc>
        <w:tc>
          <w:tcPr>
            <w:tcW w:w="2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ascii="仿宋" w:hAnsi="仿宋" w:eastAsia="仿宋"/>
                <w:sz w:val="22"/>
                <w:szCs w:val="22"/>
              </w:rPr>
            </w:pPr>
            <w:r>
              <w:rPr>
                <w:rFonts w:hint="eastAsia" w:ascii="仿宋" w:hAnsi="仿宋" w:eastAsia="仿宋" w:cs="宋体"/>
                <w:sz w:val="24"/>
                <w:szCs w:val="24"/>
              </w:rPr>
              <w:t>主办单位</w:t>
            </w:r>
          </w:p>
        </w:tc>
      </w:tr>
      <w:tr>
        <w:tblPrEx>
          <w:tblCellMar>
            <w:top w:w="0" w:type="dxa"/>
            <w:left w:w="0" w:type="dxa"/>
            <w:bottom w:w="0" w:type="dxa"/>
            <w:right w:w="0" w:type="dxa"/>
          </w:tblCellMar>
        </w:tblPrEx>
        <w:trPr>
          <w:trHeight w:val="57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Style w:val="17"/>
                <w:rFonts w:hint="default" w:ascii="仿宋" w:hAnsi="仿宋" w:eastAsia="仿宋"/>
                <w:color w:val="auto"/>
                <w:lang w:bidi="ar"/>
              </w:rPr>
            </w:pPr>
            <w:r>
              <w:rPr>
                <w:rFonts w:hint="eastAsia" w:ascii="宋体" w:hAnsi="宋体" w:cs="宋体"/>
                <w:kern w:val="0"/>
                <w:sz w:val="22"/>
                <w:szCs w:val="22"/>
                <w:lang w:bidi="ar"/>
              </w:rPr>
              <w:t>常乐</w:t>
            </w:r>
          </w:p>
        </w:tc>
        <w:tc>
          <w:tcPr>
            <w:tcW w:w="3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17"/>
                <w:rFonts w:hint="default" w:ascii="仿宋" w:hAnsi="仿宋" w:eastAsia="仿宋"/>
                <w:color w:val="auto"/>
                <w:lang w:bidi="ar"/>
              </w:rPr>
            </w:pPr>
            <w:r>
              <w:rPr>
                <w:rFonts w:hint="eastAsia" w:ascii="宋体" w:hAnsi="宋体" w:cs="宋体"/>
                <w:kern w:val="0"/>
                <w:sz w:val="22"/>
                <w:szCs w:val="22"/>
                <w:lang w:bidi="ar"/>
              </w:rPr>
              <w:t>湖南省第十五届研究生创新论坛评选二等奖</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kern w:val="0"/>
                <w:sz w:val="22"/>
                <w:szCs w:val="22"/>
                <w:lang w:bidi="ar"/>
              </w:rPr>
            </w:pPr>
            <w:r>
              <w:rPr>
                <w:rFonts w:hint="eastAsia" w:ascii="宋体" w:hAnsi="宋体" w:cs="宋体"/>
                <w:kern w:val="0"/>
                <w:sz w:val="22"/>
                <w:szCs w:val="22"/>
                <w:lang w:bidi="ar"/>
              </w:rPr>
              <w:t>2022.11</w:t>
            </w:r>
          </w:p>
        </w:tc>
        <w:tc>
          <w:tcPr>
            <w:tcW w:w="2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17"/>
                <w:rFonts w:hint="default" w:ascii="仿宋" w:hAnsi="仿宋" w:eastAsia="仿宋"/>
                <w:color w:val="auto"/>
                <w:lang w:bidi="ar"/>
              </w:rPr>
            </w:pPr>
            <w:r>
              <w:rPr>
                <w:rFonts w:hint="eastAsia" w:ascii="宋体" w:hAnsi="宋体" w:cs="宋体"/>
                <w:kern w:val="0"/>
                <w:sz w:val="22"/>
                <w:szCs w:val="22"/>
                <w:lang w:bidi="ar"/>
              </w:rPr>
              <w:t>湖南省人民政府学位委员会</w:t>
            </w:r>
          </w:p>
        </w:tc>
      </w:tr>
      <w:tr>
        <w:tblPrEx>
          <w:tblCellMar>
            <w:top w:w="0" w:type="dxa"/>
            <w:left w:w="0" w:type="dxa"/>
            <w:bottom w:w="0" w:type="dxa"/>
            <w:right w:w="0" w:type="dxa"/>
          </w:tblCellMar>
        </w:tblPrEx>
        <w:trPr>
          <w:trHeight w:val="54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sz w:val="22"/>
                <w:szCs w:val="22"/>
              </w:rPr>
            </w:pPr>
            <w:r>
              <w:rPr>
                <w:rFonts w:hint="eastAsia" w:ascii="宋体" w:hAnsi="宋体" w:cs="宋体"/>
                <w:kern w:val="0"/>
                <w:sz w:val="22"/>
                <w:szCs w:val="22"/>
                <w:lang w:bidi="ar"/>
              </w:rPr>
              <w:t>高欣</w:t>
            </w:r>
          </w:p>
        </w:tc>
        <w:tc>
          <w:tcPr>
            <w:tcW w:w="3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22"/>
                <w:szCs w:val="22"/>
              </w:rPr>
            </w:pPr>
            <w:r>
              <w:rPr>
                <w:rFonts w:hint="eastAsia" w:ascii="宋体" w:hAnsi="宋体" w:cs="宋体"/>
                <w:kern w:val="0"/>
                <w:sz w:val="22"/>
                <w:szCs w:val="22"/>
                <w:lang w:bidi="ar"/>
              </w:rPr>
              <w:t>湖南省第十五届研究生创新论坛评选二等奖</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sz w:val="22"/>
                <w:szCs w:val="22"/>
              </w:rPr>
            </w:pPr>
            <w:r>
              <w:rPr>
                <w:rFonts w:hint="eastAsia" w:ascii="宋体" w:hAnsi="宋体" w:cs="宋体"/>
                <w:kern w:val="0"/>
                <w:sz w:val="22"/>
                <w:szCs w:val="22"/>
                <w:lang w:bidi="ar"/>
              </w:rPr>
              <w:t>2022.11</w:t>
            </w:r>
          </w:p>
        </w:tc>
        <w:tc>
          <w:tcPr>
            <w:tcW w:w="2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22"/>
                <w:szCs w:val="22"/>
              </w:rPr>
            </w:pPr>
            <w:r>
              <w:rPr>
                <w:rFonts w:hint="eastAsia" w:ascii="宋体" w:hAnsi="宋体" w:cs="宋体"/>
                <w:kern w:val="0"/>
                <w:sz w:val="22"/>
                <w:szCs w:val="22"/>
                <w:lang w:bidi="ar"/>
              </w:rPr>
              <w:t>湖南省人民政府学位委员会</w:t>
            </w:r>
          </w:p>
        </w:tc>
      </w:tr>
      <w:tr>
        <w:tblPrEx>
          <w:tblCellMar>
            <w:top w:w="0" w:type="dxa"/>
            <w:left w:w="0" w:type="dxa"/>
            <w:bottom w:w="0" w:type="dxa"/>
            <w:right w:w="0" w:type="dxa"/>
          </w:tblCellMar>
        </w:tblPrEx>
        <w:trPr>
          <w:trHeight w:val="54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sz w:val="22"/>
                <w:szCs w:val="22"/>
              </w:rPr>
            </w:pPr>
            <w:r>
              <w:rPr>
                <w:rFonts w:hint="eastAsia" w:ascii="宋体" w:hAnsi="宋体" w:cs="宋体"/>
                <w:kern w:val="0"/>
                <w:sz w:val="22"/>
                <w:szCs w:val="22"/>
                <w:lang w:bidi="ar"/>
              </w:rPr>
              <w:t>高欣</w:t>
            </w:r>
          </w:p>
        </w:tc>
        <w:tc>
          <w:tcPr>
            <w:tcW w:w="3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22"/>
                <w:szCs w:val="22"/>
              </w:rPr>
            </w:pPr>
            <w:r>
              <w:rPr>
                <w:rFonts w:hint="eastAsia" w:ascii="宋体" w:hAnsi="宋体" w:cs="宋体"/>
                <w:kern w:val="0"/>
                <w:sz w:val="22"/>
                <w:szCs w:val="22"/>
                <w:lang w:bidi="ar"/>
              </w:rPr>
              <w:t>湖南省西部综合开发研究会2022年会优秀论文三等奖</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sz w:val="22"/>
                <w:szCs w:val="22"/>
              </w:rPr>
            </w:pPr>
            <w:r>
              <w:rPr>
                <w:rFonts w:hint="eastAsia" w:ascii="宋体" w:hAnsi="宋体" w:cs="宋体"/>
                <w:kern w:val="0"/>
                <w:sz w:val="22"/>
                <w:szCs w:val="22"/>
                <w:lang w:bidi="ar"/>
              </w:rPr>
              <w:t>2022.11</w:t>
            </w:r>
          </w:p>
        </w:tc>
        <w:tc>
          <w:tcPr>
            <w:tcW w:w="2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sz w:val="22"/>
                <w:szCs w:val="22"/>
              </w:rPr>
            </w:pPr>
            <w:r>
              <w:rPr>
                <w:rFonts w:hint="eastAsia" w:ascii="宋体" w:hAnsi="宋体" w:cs="宋体"/>
                <w:kern w:val="0"/>
                <w:sz w:val="22"/>
                <w:szCs w:val="22"/>
                <w:lang w:bidi="ar"/>
              </w:rPr>
              <w:t>湖南省西部综合开发研究会</w:t>
            </w:r>
          </w:p>
        </w:tc>
      </w:tr>
    </w:tbl>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学位点一方面创新宣传方式，通过“研经商思”微信公众号，及时推送学术讲座信息、分享学术研究成果、争鸣学术热点、交流学术研究心得、宣传学术达人，另一方面借助学院、武陵山片区扶贫与发展协同创新中心网站平台，定期报道研究生学术沙龙动态，积极营造浓厚的学术氛围。通过一年来的努力，学位点研究生学术氛围明显提升。</w:t>
      </w:r>
    </w:p>
    <w:p>
      <w:pPr>
        <w:pStyle w:val="6"/>
        <w:snapToGrid w:val="0"/>
        <w:spacing w:before="0" w:after="0" w:line="360" w:lineRule="auto"/>
        <w:ind w:firstLine="618" w:firstLineChars="200"/>
        <w:rPr>
          <w:rFonts w:ascii="仿宋" w:hAnsi="仿宋" w:eastAsia="仿宋"/>
          <w:w w:val="110"/>
          <w:sz w:val="28"/>
          <w:szCs w:val="28"/>
        </w:rPr>
      </w:pPr>
      <w:bookmarkStart w:id="36" w:name="_Hlk92202414"/>
      <w:bookmarkStart w:id="37" w:name="_Toc92275548"/>
      <w:r>
        <w:rPr>
          <w:rFonts w:ascii="仿宋" w:hAnsi="仿宋" w:eastAsia="仿宋"/>
          <w:w w:val="110"/>
          <w:sz w:val="28"/>
          <w:szCs w:val="28"/>
        </w:rPr>
        <w:t xml:space="preserve">6. </w:t>
      </w:r>
      <w:r>
        <w:rPr>
          <w:rFonts w:hint="eastAsia" w:ascii="仿宋" w:hAnsi="仿宋" w:eastAsia="仿宋"/>
          <w:w w:val="110"/>
          <w:sz w:val="28"/>
          <w:szCs w:val="28"/>
        </w:rPr>
        <w:t>研究生奖助情况</w:t>
      </w:r>
      <w:bookmarkEnd w:id="36"/>
      <w:bookmarkEnd w:id="37"/>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 xml:space="preserve">本年度共组织了研究生国家奖学金、学业奖学金、国家助学金、及研究生三好学生、优秀干部、优秀学位论文等各项评奖评优工作。各项评奖评优均做到了公平、公正、公开、按程序、守时间完成。 </w:t>
      </w:r>
    </w:p>
    <w:p>
      <w:pPr>
        <w:pStyle w:val="2"/>
        <w:snapToGrid w:val="0"/>
        <w:spacing w:after="0" w:line="360" w:lineRule="auto"/>
        <w:rPr>
          <w:rFonts w:ascii="仿宋" w:hAnsi="仿宋" w:eastAsia="仿宋"/>
        </w:rPr>
      </w:pPr>
    </w:p>
    <w:p>
      <w:pPr>
        <w:pStyle w:val="5"/>
        <w:snapToGrid w:val="0"/>
        <w:spacing w:before="0" w:after="0" w:line="360" w:lineRule="auto"/>
        <w:rPr>
          <w:rFonts w:ascii="黑体" w:hAnsi="黑体" w:eastAsia="黑体"/>
          <w:b w:val="0"/>
          <w:bCs w:val="0"/>
        </w:rPr>
      </w:pPr>
      <w:bookmarkStart w:id="38" w:name="_Toc92275549"/>
      <w:r>
        <w:rPr>
          <w:rFonts w:hint="eastAsia" w:ascii="黑体" w:hAnsi="黑体" w:eastAsia="黑体"/>
          <w:b w:val="0"/>
          <w:bCs w:val="0"/>
        </w:rPr>
        <w:t>四、研究生教育改革情况</w:t>
      </w:r>
      <w:bookmarkEnd w:id="38"/>
    </w:p>
    <w:p>
      <w:pPr>
        <w:pStyle w:val="6"/>
        <w:snapToGrid w:val="0"/>
        <w:spacing w:before="0" w:after="0" w:line="360" w:lineRule="auto"/>
        <w:ind w:firstLine="618" w:firstLineChars="200"/>
        <w:rPr>
          <w:rFonts w:ascii="仿宋" w:hAnsi="仿宋" w:eastAsia="仿宋"/>
          <w:w w:val="110"/>
          <w:sz w:val="28"/>
          <w:szCs w:val="28"/>
        </w:rPr>
      </w:pPr>
      <w:bookmarkStart w:id="39" w:name="_Toc92275550"/>
      <w:bookmarkStart w:id="40" w:name="_Hlk92202473"/>
      <w:r>
        <w:rPr>
          <w:rFonts w:ascii="仿宋" w:hAnsi="仿宋" w:eastAsia="仿宋"/>
          <w:w w:val="110"/>
          <w:sz w:val="28"/>
          <w:szCs w:val="28"/>
        </w:rPr>
        <w:t xml:space="preserve">1. </w:t>
      </w:r>
      <w:r>
        <w:rPr>
          <w:rFonts w:hint="eastAsia" w:ascii="仿宋" w:hAnsi="仿宋" w:eastAsia="仿宋"/>
          <w:w w:val="110"/>
          <w:sz w:val="28"/>
          <w:szCs w:val="28"/>
        </w:rPr>
        <w:t>人才培养情况</w:t>
      </w:r>
      <w:bookmarkEnd w:id="39"/>
    </w:p>
    <w:bookmarkEnd w:id="40"/>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22级研究生入学后及时召开了导师和研究生的见面会，落实每个研究生的导师，并推荐了校外导师。强化学术训练平台建设，支持导师之间组建导师组，强化学术研究和人才培养的沟通交流。本年度学位点积极组织研究生申报各级科研项目及学术论文写作，共新增项目7项。发表学术论文16篇，其中SSCI/CSSCI来源期刊论文7篇；共获省级以上竞赛奖励14项，学会学术论文奖励3项，优秀个人2项。其中获湖南第七届MBA企业案例大赛二等奖1项</w:t>
      </w:r>
      <w:bookmarkStart w:id="41" w:name="_Hlk92202494"/>
      <w:r>
        <w:rPr>
          <w:rFonts w:hint="eastAsia" w:ascii="仿宋" w:hAnsi="仿宋" w:eastAsia="仿宋"/>
          <w:spacing w:val="-7"/>
          <w:w w:val="110"/>
          <w:sz w:val="28"/>
          <w:szCs w:val="28"/>
        </w:rPr>
        <w:t>，第七届湖南省MPAcc企业案例大赛三等奖1项，湖南省第二届金融案例大赛二等奖2项、三等奖</w:t>
      </w:r>
      <w:r>
        <w:rPr>
          <w:rFonts w:ascii="仿宋" w:hAnsi="仿宋" w:eastAsia="仿宋"/>
          <w:spacing w:val="-7"/>
          <w:w w:val="110"/>
          <w:sz w:val="28"/>
          <w:szCs w:val="28"/>
        </w:rPr>
        <w:t>4</w:t>
      </w:r>
      <w:r>
        <w:rPr>
          <w:rFonts w:hint="eastAsia" w:ascii="仿宋" w:hAnsi="仿宋" w:eastAsia="仿宋"/>
          <w:spacing w:val="-7"/>
          <w:w w:val="110"/>
          <w:sz w:val="28"/>
          <w:szCs w:val="28"/>
        </w:rPr>
        <w:t>项，湖南省研究生创新论坛优秀论文二等奖2项，湖南省优秀毕业生1名，湖南省创新创业优秀毕业生1名。苟凯歌同学的学位论文被评为校级优秀硕士学位论文。</w:t>
      </w:r>
    </w:p>
    <w:bookmarkEnd w:id="41"/>
    <w:p>
      <w:pPr>
        <w:pStyle w:val="6"/>
        <w:snapToGrid w:val="0"/>
        <w:spacing w:before="0" w:after="0" w:line="360" w:lineRule="auto"/>
        <w:ind w:firstLine="618" w:firstLineChars="200"/>
        <w:rPr>
          <w:rFonts w:ascii="仿宋" w:hAnsi="仿宋" w:eastAsia="仿宋"/>
          <w:w w:val="110"/>
          <w:sz w:val="28"/>
          <w:szCs w:val="28"/>
        </w:rPr>
      </w:pPr>
      <w:bookmarkStart w:id="42" w:name="_Toc92275551"/>
      <w:bookmarkStart w:id="43" w:name="_Hlk92202529"/>
      <w:r>
        <w:rPr>
          <w:rFonts w:hint="eastAsia" w:ascii="仿宋" w:hAnsi="仿宋" w:eastAsia="仿宋"/>
          <w:w w:val="110"/>
          <w:sz w:val="28"/>
          <w:szCs w:val="28"/>
        </w:rPr>
        <w:t>2</w:t>
      </w:r>
      <w:r>
        <w:rPr>
          <w:rFonts w:ascii="仿宋" w:hAnsi="仿宋" w:eastAsia="仿宋"/>
          <w:w w:val="110"/>
          <w:sz w:val="28"/>
          <w:szCs w:val="28"/>
        </w:rPr>
        <w:t xml:space="preserve">. </w:t>
      </w:r>
      <w:r>
        <w:rPr>
          <w:rFonts w:hint="eastAsia" w:ascii="仿宋" w:hAnsi="仿宋" w:eastAsia="仿宋"/>
          <w:w w:val="110"/>
          <w:sz w:val="28"/>
          <w:szCs w:val="28"/>
        </w:rPr>
        <w:t>教师队伍</w:t>
      </w:r>
      <w:r>
        <w:rPr>
          <w:rFonts w:hint="eastAsia" w:ascii="仿宋" w:hAnsi="仿宋" w:eastAsia="仿宋"/>
          <w:sz w:val="28"/>
          <w:szCs w:val="28"/>
        </w:rPr>
        <w:t>建设</w:t>
      </w:r>
      <w:r>
        <w:rPr>
          <w:rFonts w:hint="eastAsia" w:ascii="仿宋" w:hAnsi="仿宋" w:eastAsia="仿宋"/>
          <w:w w:val="110"/>
          <w:sz w:val="28"/>
          <w:szCs w:val="28"/>
        </w:rPr>
        <w:t>情况</w:t>
      </w:r>
      <w:bookmarkEnd w:id="42"/>
      <w:bookmarkEnd w:id="43"/>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目前学位点共有专任教师40人，其中教授11人、副教授18人，博士22人，教育部新世纪人才计划人选2人，湖南省“百人计划”专家1人，省级学科带头人2人；博士生导师3人，硕士生导师28人，教师年龄结构以中青年教师为主，45岁以下教师21位，占比50.25%；学缘结构合理，多来自中山大学、中南大学、西南财经大学、南开大学、复旦大学等国内著名高校，全年生师比仅为1：1。</w:t>
      </w:r>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导师队伍的主要方向：（1）旅游管理方向：粟娟、黄炜、许建、尹华光、蔡建刚、李付坤。（2）技术经济管理与企业管理方向：张琰飞、张怀英、龙海军、袁明达、黄祥芳、李明、欧阳胜。（3）财务与会计方向：冯来强、朱海英、周信君、李英、王先述、张霞、唐振宇。</w:t>
      </w:r>
    </w:p>
    <w:p>
      <w:pPr>
        <w:pStyle w:val="6"/>
        <w:snapToGrid w:val="0"/>
        <w:spacing w:before="0" w:after="0" w:line="360" w:lineRule="auto"/>
        <w:ind w:firstLine="618" w:firstLineChars="200"/>
        <w:rPr>
          <w:rFonts w:ascii="仿宋" w:hAnsi="仿宋" w:eastAsia="仿宋"/>
          <w:w w:val="110"/>
          <w:sz w:val="28"/>
          <w:szCs w:val="28"/>
        </w:rPr>
      </w:pPr>
      <w:bookmarkStart w:id="44" w:name="_Toc92275552"/>
      <w:bookmarkStart w:id="45" w:name="_Hlk92202707"/>
      <w:r>
        <w:rPr>
          <w:rFonts w:ascii="仿宋" w:hAnsi="仿宋" w:eastAsia="仿宋"/>
          <w:w w:val="110"/>
          <w:sz w:val="28"/>
          <w:szCs w:val="28"/>
        </w:rPr>
        <w:t xml:space="preserve">3. </w:t>
      </w:r>
      <w:r>
        <w:rPr>
          <w:rFonts w:hint="eastAsia" w:ascii="仿宋" w:hAnsi="仿宋" w:eastAsia="仿宋"/>
          <w:w w:val="110"/>
          <w:sz w:val="28"/>
          <w:szCs w:val="28"/>
        </w:rPr>
        <w:t>科学研究</w:t>
      </w:r>
      <w:r>
        <w:rPr>
          <w:rFonts w:hint="eastAsia" w:ascii="仿宋" w:hAnsi="仿宋" w:eastAsia="仿宋"/>
          <w:sz w:val="28"/>
          <w:szCs w:val="28"/>
        </w:rPr>
        <w:t>情况</w:t>
      </w:r>
      <w:bookmarkEnd w:id="44"/>
    </w:p>
    <w:bookmarkEnd w:id="45"/>
    <w:p>
      <w:pPr>
        <w:snapToGrid w:val="0"/>
        <w:spacing w:line="360" w:lineRule="auto"/>
        <w:ind w:firstLine="588" w:firstLineChars="200"/>
        <w:rPr>
          <w:rFonts w:ascii="仿宋" w:hAnsi="仿宋" w:eastAsia="仿宋"/>
          <w:spacing w:val="-7"/>
          <w:w w:val="110"/>
          <w:sz w:val="28"/>
          <w:szCs w:val="28"/>
        </w:rPr>
      </w:pPr>
      <w:bookmarkStart w:id="46" w:name="_Toc92275553"/>
      <w:bookmarkStart w:id="47" w:name="_Hlk92202834"/>
      <w:r>
        <w:rPr>
          <w:rFonts w:hint="eastAsia" w:ascii="仿宋" w:hAnsi="仿宋" w:eastAsia="仿宋"/>
          <w:spacing w:val="-7"/>
          <w:w w:val="110"/>
          <w:sz w:val="28"/>
          <w:szCs w:val="28"/>
        </w:rPr>
        <w:t>学位点本年度</w:t>
      </w:r>
      <w:r>
        <w:rPr>
          <w:rFonts w:hint="eastAsia" w:ascii="仿宋" w:hAnsi="仿宋" w:eastAsia="仿宋" w:cs="仿宋"/>
          <w:sz w:val="28"/>
          <w:szCs w:val="28"/>
        </w:rPr>
        <w:t>教师全年在SSCI、CSSCI、SCI等权威核心期刊发表学术论文20余篇；</w:t>
      </w:r>
      <w:r>
        <w:rPr>
          <w:rFonts w:hint="eastAsia" w:ascii="仿宋" w:hAnsi="仿宋" w:eastAsia="仿宋"/>
          <w:spacing w:val="-7"/>
          <w:w w:val="110"/>
          <w:sz w:val="28"/>
          <w:szCs w:val="28"/>
        </w:rPr>
        <w:t>年度新增</w:t>
      </w:r>
      <w:r>
        <w:rPr>
          <w:rFonts w:hint="eastAsia" w:ascii="仿宋" w:hAnsi="仿宋" w:eastAsia="仿宋" w:cs="仿宋"/>
          <w:sz w:val="28"/>
          <w:szCs w:val="28"/>
        </w:rPr>
        <w:t>国家社科基金项目立项1项，</w:t>
      </w:r>
      <w:r>
        <w:rPr>
          <w:rFonts w:hint="eastAsia" w:ascii="仿宋" w:hAnsi="仿宋" w:eastAsia="仿宋"/>
          <w:spacing w:val="-7"/>
          <w:w w:val="110"/>
          <w:sz w:val="28"/>
          <w:szCs w:val="28"/>
        </w:rPr>
        <w:t>新增省部级以上纵向项目立项5项。学位点导师获湖南省研究生教改课题1项。教师团队获第十三届湖南省高等教育教学成果奖二等奖1项，获吉首大学教学成果特等奖1项、一等奖2项、三等奖1项；与中山大学管理学院联合申报的教学成果奖获批参评国家级教学成果奖。</w:t>
      </w:r>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学位点邀请王化成、马超群、谭劲松、王志章、钟昌标、欧阳峣等国内外知名专家，以及杨少良、张育强、刘丹岳等企业家来学位点讲学，并对学位点科研和学科建设工作进行指导；学科教师线上参加2022年中国地理学会农业地理与乡村发展学术年会（2022.12.10-11）、中国区域经济学会年会（2022.10.30）等相关学术会议10余次，作主题报告5次。</w:t>
      </w:r>
    </w:p>
    <w:p>
      <w:pPr>
        <w:pStyle w:val="6"/>
        <w:snapToGrid w:val="0"/>
        <w:spacing w:before="0" w:after="0" w:line="360" w:lineRule="auto"/>
        <w:ind w:firstLine="618" w:firstLineChars="200"/>
        <w:rPr>
          <w:rFonts w:ascii="仿宋" w:hAnsi="仿宋" w:eastAsia="仿宋"/>
          <w:w w:val="110"/>
          <w:sz w:val="28"/>
          <w:szCs w:val="28"/>
        </w:rPr>
      </w:pPr>
      <w:r>
        <w:rPr>
          <w:rFonts w:ascii="仿宋" w:hAnsi="仿宋" w:eastAsia="仿宋"/>
          <w:w w:val="110"/>
          <w:sz w:val="28"/>
          <w:szCs w:val="28"/>
        </w:rPr>
        <w:t xml:space="preserve">4. </w:t>
      </w:r>
      <w:r>
        <w:rPr>
          <w:rFonts w:hint="eastAsia" w:ascii="仿宋" w:hAnsi="仿宋" w:eastAsia="仿宋"/>
          <w:w w:val="110"/>
          <w:sz w:val="28"/>
          <w:szCs w:val="28"/>
        </w:rPr>
        <w:t>传承创新优秀学科文化情况</w:t>
      </w:r>
      <w:bookmarkEnd w:id="46"/>
    </w:p>
    <w:bookmarkEnd w:id="47"/>
    <w:p>
      <w:pPr>
        <w:snapToGrid w:val="0"/>
        <w:spacing w:line="360" w:lineRule="auto"/>
        <w:ind w:firstLine="588" w:firstLineChars="200"/>
        <w:rPr>
          <w:rFonts w:ascii="仿宋" w:hAnsi="仿宋" w:eastAsia="仿宋" w:cs="仿宋"/>
          <w:sz w:val="30"/>
          <w:szCs w:val="30"/>
        </w:rPr>
      </w:pPr>
      <w:r>
        <w:rPr>
          <w:rFonts w:hint="eastAsia" w:ascii="仿宋" w:hAnsi="仿宋" w:eastAsia="仿宋"/>
          <w:spacing w:val="-7"/>
          <w:w w:val="110"/>
          <w:sz w:val="28"/>
          <w:szCs w:val="28"/>
        </w:rPr>
        <w:t>本年度学位点团队高质量完成了</w:t>
      </w:r>
      <w:bookmarkStart w:id="48" w:name="_Hlk92130173"/>
      <w:r>
        <w:rPr>
          <w:rFonts w:hint="eastAsia" w:ascii="仿宋" w:hAnsi="仿宋" w:eastAsia="仿宋"/>
          <w:spacing w:val="-7"/>
          <w:w w:val="110"/>
          <w:sz w:val="28"/>
          <w:szCs w:val="28"/>
        </w:rPr>
        <w:t>与中国证券业协会、湖南省证券业协会签订共建投资者教育基地及助学协议，投教基地已建成并投入使用。</w:t>
      </w:r>
      <w:r>
        <w:rPr>
          <w:rFonts w:hint="eastAsia" w:ascii="仿宋" w:hAnsi="仿宋" w:eastAsia="仿宋" w:cs="仿宋"/>
          <w:sz w:val="30"/>
          <w:szCs w:val="30"/>
        </w:rPr>
        <w:t>团队受邀承担《新时代精准扶贫思想的摇篮——十八洞村在中国共产党百年减贫史中的重要地位》和《“三高四新”战略背景下湘西自治州建成生态文化旅游千亿产业的路径与对策研究》的2个湘西州社会科学成果评审委员会重大委托课题并顺利结题；团队受吉首市农业农村局</w:t>
      </w:r>
      <w:r>
        <w:rPr>
          <w:rFonts w:hint="eastAsia" w:ascii="仿宋" w:hAnsi="仿宋" w:eastAsia="仿宋" w:cs="仿宋"/>
          <w:sz w:val="30"/>
          <w:szCs w:val="30"/>
          <w:lang w:val="en-US" w:eastAsia="zh-CN"/>
        </w:rPr>
        <w:t>委托</w:t>
      </w:r>
      <w:r>
        <w:rPr>
          <w:rFonts w:hint="eastAsia" w:ascii="仿宋" w:hAnsi="仿宋" w:eastAsia="仿宋" w:cs="仿宋"/>
          <w:sz w:val="30"/>
          <w:szCs w:val="30"/>
        </w:rPr>
        <w:t>为全市乡村振兴驻村干部培训班（学员200余人）讲授《经验与启示：乡村振兴案例解读》和《农村集体经济助推乡村振兴：影响机制、典型案例与关键路径》课程；团队受邀承接并高质量完成吉首大学乡村振兴驻村帮扶点湖南湘西永顺县五官村乡村振兴规划编制工作。教师团队受邀为</w:t>
      </w:r>
      <w:r>
        <w:rPr>
          <w:rFonts w:ascii="仿宋" w:hAnsi="仿宋" w:eastAsia="仿宋" w:cs="仿宋"/>
          <w:sz w:val="30"/>
          <w:szCs w:val="30"/>
        </w:rPr>
        <w:t>湘西州申办湖南省首届旅游发展大会</w:t>
      </w:r>
      <w:r>
        <w:rPr>
          <w:rFonts w:hint="eastAsia" w:ascii="仿宋" w:hAnsi="仿宋" w:eastAsia="仿宋" w:cs="仿宋"/>
          <w:sz w:val="30"/>
          <w:szCs w:val="30"/>
        </w:rPr>
        <w:t>提供</w:t>
      </w:r>
      <w:r>
        <w:rPr>
          <w:rFonts w:ascii="仿宋" w:hAnsi="仿宋" w:eastAsia="仿宋" w:cs="仿宋"/>
          <w:sz w:val="30"/>
          <w:szCs w:val="30"/>
        </w:rPr>
        <w:t>技术咨询</w:t>
      </w:r>
      <w:r>
        <w:rPr>
          <w:rFonts w:hint="eastAsia" w:ascii="仿宋" w:hAnsi="仿宋" w:eastAsia="仿宋" w:cs="仿宋"/>
          <w:sz w:val="30"/>
          <w:szCs w:val="30"/>
        </w:rPr>
        <w:t>，并受邀承接《</w:t>
      </w:r>
      <w:r>
        <w:rPr>
          <w:rFonts w:ascii="仿宋" w:hAnsi="仿宋" w:eastAsia="仿宋" w:cs="仿宋"/>
          <w:sz w:val="30"/>
          <w:szCs w:val="30"/>
        </w:rPr>
        <w:t>永顺县不二门景区旅游线路提质升级方案</w:t>
      </w:r>
      <w:r>
        <w:rPr>
          <w:rFonts w:hint="eastAsia" w:ascii="仿宋" w:hAnsi="仿宋" w:eastAsia="仿宋" w:cs="仿宋"/>
          <w:sz w:val="30"/>
          <w:szCs w:val="30"/>
        </w:rPr>
        <w:t>》、《</w:t>
      </w:r>
      <w:r>
        <w:rPr>
          <w:rFonts w:ascii="仿宋" w:hAnsi="仿宋" w:eastAsia="仿宋" w:cs="仿宋"/>
          <w:sz w:val="30"/>
          <w:szCs w:val="30"/>
        </w:rPr>
        <w:t>湘西州生态文化旅游精品线路项目及品牌提质升级规划</w:t>
      </w:r>
      <w:r>
        <w:rPr>
          <w:rFonts w:hint="eastAsia" w:ascii="仿宋" w:hAnsi="仿宋" w:eastAsia="仿宋" w:cs="仿宋"/>
          <w:sz w:val="30"/>
          <w:szCs w:val="30"/>
        </w:rPr>
        <w:t>》、《</w:t>
      </w:r>
      <w:r>
        <w:rPr>
          <w:rFonts w:ascii="仿宋" w:hAnsi="仿宋" w:eastAsia="仿宋" w:cs="仿宋"/>
          <w:sz w:val="30"/>
          <w:szCs w:val="30"/>
        </w:rPr>
        <w:t>保靖县国茶村茶旅融合发展总体规划</w:t>
      </w:r>
      <w:r>
        <w:rPr>
          <w:rFonts w:hint="eastAsia" w:ascii="仿宋" w:hAnsi="仿宋" w:eastAsia="仿宋" w:cs="仿宋"/>
          <w:sz w:val="30"/>
          <w:szCs w:val="30"/>
        </w:rPr>
        <w:t>》。</w:t>
      </w:r>
    </w:p>
    <w:bookmarkEnd w:id="48"/>
    <w:p>
      <w:pPr>
        <w:snapToGrid w:val="0"/>
        <w:spacing w:line="360" w:lineRule="auto"/>
        <w:ind w:firstLine="618" w:firstLineChars="200"/>
        <w:rPr>
          <w:rFonts w:ascii="仿宋" w:hAnsi="仿宋" w:eastAsia="仿宋"/>
          <w:b/>
          <w:bCs/>
          <w:w w:val="110"/>
          <w:sz w:val="28"/>
          <w:szCs w:val="28"/>
        </w:rPr>
      </w:pPr>
      <w:bookmarkStart w:id="49" w:name="_Toc92275554"/>
      <w:bookmarkStart w:id="50" w:name="_Hlk92202842"/>
      <w:r>
        <w:rPr>
          <w:rFonts w:ascii="仿宋" w:hAnsi="仿宋" w:eastAsia="仿宋"/>
          <w:b/>
          <w:bCs/>
          <w:w w:val="110"/>
          <w:sz w:val="28"/>
          <w:szCs w:val="28"/>
        </w:rPr>
        <w:t>5.</w:t>
      </w:r>
      <w:r>
        <w:rPr>
          <w:rFonts w:hint="eastAsia" w:ascii="仿宋" w:hAnsi="仿宋" w:eastAsia="仿宋"/>
          <w:b/>
          <w:bCs/>
          <w:w w:val="110"/>
          <w:sz w:val="28"/>
          <w:szCs w:val="28"/>
        </w:rPr>
        <w:t>国际交流合作等的改革创新情况</w:t>
      </w:r>
      <w:bookmarkEnd w:id="49"/>
    </w:p>
    <w:bookmarkEnd w:id="50"/>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学位点本年度一直与新</w:t>
      </w:r>
      <w:bookmarkStart w:id="56" w:name="_GoBack"/>
      <w:bookmarkEnd w:id="56"/>
      <w:r>
        <w:rPr>
          <w:rFonts w:hint="eastAsia" w:ascii="仿宋" w:hAnsi="仿宋" w:eastAsia="仿宋"/>
          <w:spacing w:val="-7"/>
          <w:w w:val="110"/>
          <w:sz w:val="28"/>
          <w:szCs w:val="28"/>
        </w:rPr>
        <w:t>加坡国立大学易君健教授合作联上研究生《计量经济学》，授课效果显著，但因疫情影响继续开展线上课堂；并与日本鹿儿岛大学开展定期交流，就联合人才培养和项目研究已基本达成合作协议。学位点教师受邀在学校与湖南省委外事办公室交流座谈会上做典型发言；受省委外事办中联部邀请为“凝聚中欧共识 携手共促和平发展”研讨会中来自意大利、西班牙、葡萄牙等欧洲国家代表解答十八洞村相关提问。学位点殷强博士、孙爱淑博士受国家留学基金委资助赴日本访学。</w:t>
      </w:r>
    </w:p>
    <w:p>
      <w:pPr>
        <w:snapToGrid w:val="0"/>
        <w:spacing w:line="360" w:lineRule="auto"/>
        <w:ind w:firstLine="588" w:firstLineChars="200"/>
        <w:rPr>
          <w:rFonts w:ascii="仿宋" w:hAnsi="仿宋" w:eastAsia="仿宋"/>
          <w:spacing w:val="-7"/>
          <w:w w:val="110"/>
          <w:sz w:val="28"/>
          <w:szCs w:val="28"/>
        </w:rPr>
      </w:pPr>
    </w:p>
    <w:p>
      <w:pPr>
        <w:pStyle w:val="5"/>
        <w:snapToGrid w:val="0"/>
        <w:spacing w:before="0" w:after="0" w:line="360" w:lineRule="auto"/>
        <w:rPr>
          <w:rFonts w:ascii="黑体" w:hAnsi="黑体" w:eastAsia="黑体"/>
          <w:b w:val="0"/>
          <w:bCs w:val="0"/>
        </w:rPr>
      </w:pPr>
      <w:bookmarkStart w:id="51" w:name="_Toc92275555"/>
      <w:r>
        <w:rPr>
          <w:rFonts w:hint="eastAsia" w:ascii="黑体" w:hAnsi="黑体" w:eastAsia="黑体"/>
          <w:b w:val="0"/>
          <w:bCs w:val="0"/>
        </w:rPr>
        <w:t>五、教育质量评估与分析</w:t>
      </w:r>
      <w:bookmarkEnd w:id="51"/>
    </w:p>
    <w:p>
      <w:pPr>
        <w:pStyle w:val="6"/>
        <w:snapToGrid w:val="0"/>
        <w:spacing w:before="0" w:after="0" w:line="360" w:lineRule="auto"/>
        <w:ind w:firstLine="618" w:firstLineChars="200"/>
        <w:rPr>
          <w:rFonts w:ascii="仿宋" w:hAnsi="仿宋" w:eastAsia="仿宋"/>
          <w:w w:val="110"/>
          <w:sz w:val="28"/>
          <w:szCs w:val="28"/>
        </w:rPr>
      </w:pPr>
      <w:bookmarkStart w:id="52" w:name="_Toc92275556"/>
      <w:r>
        <w:rPr>
          <w:rFonts w:hint="eastAsia" w:ascii="仿宋" w:hAnsi="仿宋" w:eastAsia="仿宋"/>
          <w:w w:val="110"/>
          <w:sz w:val="28"/>
          <w:szCs w:val="28"/>
        </w:rPr>
        <w:t>1.学位授权点自我评估进展及问题分析</w:t>
      </w:r>
      <w:bookmarkEnd w:id="52"/>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（1）引进和稳定高水平学科带头人、中青年学术骨干比较困难。学校位于湘鄂渝黔四省交汇处的老少边山穷地区，区位劣势和经济弱势使得引进和稳定高水平人才较为困难。</w:t>
      </w:r>
    </w:p>
    <w:p>
      <w:pPr>
        <w:snapToGrid w:val="0"/>
        <w:spacing w:line="360" w:lineRule="auto"/>
        <w:ind w:firstLine="588" w:firstLineChars="200"/>
        <w:rPr>
          <w:rFonts w:ascii="仿宋" w:hAnsi="仿宋" w:eastAsia="仿宋"/>
          <w:spacing w:val="-7"/>
          <w:w w:val="110"/>
          <w:sz w:val="28"/>
          <w:szCs w:val="28"/>
        </w:rPr>
      </w:pPr>
      <w:bookmarkStart w:id="53" w:name="_Hlk92374451"/>
      <w:r>
        <w:rPr>
          <w:rFonts w:hint="eastAsia" w:ascii="仿宋" w:hAnsi="仿宋" w:eastAsia="仿宋"/>
          <w:spacing w:val="-7"/>
          <w:w w:val="110"/>
          <w:sz w:val="28"/>
          <w:szCs w:val="28"/>
        </w:rPr>
        <w:t>（</w:t>
      </w:r>
      <w:r>
        <w:rPr>
          <w:rFonts w:ascii="仿宋" w:hAnsi="仿宋" w:eastAsia="仿宋"/>
          <w:spacing w:val="-7"/>
          <w:w w:val="110"/>
          <w:sz w:val="28"/>
          <w:szCs w:val="28"/>
        </w:rPr>
        <w:t>2</w:t>
      </w:r>
      <w:r>
        <w:rPr>
          <w:rFonts w:hint="eastAsia" w:ascii="仿宋" w:hAnsi="仿宋" w:eastAsia="仿宋"/>
          <w:spacing w:val="-7"/>
          <w:w w:val="110"/>
          <w:sz w:val="28"/>
          <w:szCs w:val="28"/>
        </w:rPr>
        <w:t>）学位点导师的科研创新能力相对不高。近年来，由于高档次论文的发表难度持续加大，学位点导师和研究生发表高质量、高级别论文的数量有一定的下降。由于导师数量少，研究方向比较分散。导师团队建设还比较滞后，部分导师的责任心不足，教学科研成果偏少，对研究生的指导能力有限。</w:t>
      </w:r>
    </w:p>
    <w:bookmarkEnd w:id="53"/>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3</w:t>
      </w:r>
      <w:r>
        <w:rPr>
          <w:rFonts w:hint="eastAsia" w:ascii="仿宋" w:hAnsi="仿宋" w:eastAsia="仿宋"/>
          <w:spacing w:val="-7"/>
          <w:w w:val="110"/>
          <w:sz w:val="28"/>
          <w:szCs w:val="28"/>
        </w:rPr>
        <w:t>）师生参加高水平国际学术会议相对较少。学校所在地吉首市交通相对闭塞，“走出去”和“请进来”相对不便且成本较大，导致师生参加高水平国际国内学术会议，学科举办各类学术会议的次数都相对较少。</w:t>
      </w:r>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4</w:t>
      </w:r>
      <w:r>
        <w:rPr>
          <w:rFonts w:hint="eastAsia" w:ascii="仿宋" w:hAnsi="仿宋" w:eastAsia="仿宋"/>
          <w:spacing w:val="-7"/>
          <w:w w:val="110"/>
          <w:sz w:val="28"/>
          <w:szCs w:val="28"/>
        </w:rPr>
        <w:t>）学校外文图书资料相对不足，缺乏商学数据库。尽管本学科现有专业相关图书资料5 万余册，专业相关期刊70 余种，但外文图书资料相对不足，外文期刊种类偏少，使得文献资料查询存在一定困难。</w:t>
      </w:r>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5）本年度研究生就业率不高。2022年疫情影响严重，不仅就业岗位大幅度减少，毕业生找工作受到了诸多限制，不少招聘考试持续的延期甚至最终取消。疫情影响了毕业生的就业心态，部分学生对于考公考编等体制内工作更加执着。研究生求稳追好心态显著，对于学位点推荐的其他就业机会兴趣不高。</w:t>
      </w:r>
    </w:p>
    <w:p>
      <w:pPr>
        <w:pStyle w:val="6"/>
        <w:snapToGrid w:val="0"/>
        <w:spacing w:before="0" w:after="0" w:line="360" w:lineRule="auto"/>
        <w:ind w:firstLine="618" w:firstLineChars="200"/>
        <w:rPr>
          <w:rFonts w:ascii="仿宋" w:hAnsi="仿宋" w:eastAsia="仿宋"/>
          <w:w w:val="110"/>
          <w:sz w:val="28"/>
          <w:szCs w:val="28"/>
        </w:rPr>
      </w:pPr>
      <w:bookmarkStart w:id="54" w:name="_Toc92275557"/>
      <w:r>
        <w:rPr>
          <w:rFonts w:hint="eastAsia" w:ascii="仿宋" w:hAnsi="仿宋" w:eastAsia="仿宋"/>
          <w:w w:val="110"/>
          <w:sz w:val="28"/>
          <w:szCs w:val="28"/>
        </w:rPr>
        <w:t>2.学位论文抽检情况及问题分析</w:t>
      </w:r>
      <w:bookmarkEnd w:id="54"/>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学位点学位论文的全程实行“源头控制、过程监督、出口从严”策略，实施“审题—开题—中期检查—校内专家评阅—预答辩—校外盲审—答辩”等环节，对研究生学位论文实行严格的“双盲”审核制度，对盲审意见为“不同意答辩”的不予答辩。论文答辩邀请校外相关研究领域专家主持，对答辩未通过者严格按照答辩委员会提出的修改意见进行修改，学位论文评阅人和答辩委员会成员中，要有博士学位 或教授职称的学科内专家。由于管理规范、指导严谨，严格把控论文 质量关，2022年学位论文盲评通过率达100%，答辩通过率为 100%。省学位办抽检论文1篇，评价合格。</w:t>
      </w:r>
    </w:p>
    <w:p>
      <w:pPr>
        <w:snapToGrid w:val="0"/>
        <w:spacing w:line="360" w:lineRule="auto"/>
        <w:rPr>
          <w:rFonts w:ascii="仿宋" w:hAnsi="仿宋" w:eastAsia="仿宋"/>
        </w:rPr>
      </w:pPr>
    </w:p>
    <w:p>
      <w:pPr>
        <w:pStyle w:val="5"/>
        <w:snapToGrid w:val="0"/>
        <w:spacing w:before="0" w:after="0" w:line="360" w:lineRule="auto"/>
        <w:rPr>
          <w:rFonts w:ascii="黑体" w:hAnsi="黑体" w:eastAsia="黑体"/>
          <w:b w:val="0"/>
          <w:bCs w:val="0"/>
        </w:rPr>
      </w:pPr>
      <w:bookmarkStart w:id="55" w:name="_Toc92275558"/>
      <w:r>
        <w:rPr>
          <w:rFonts w:hint="eastAsia" w:ascii="黑体" w:hAnsi="黑体" w:eastAsia="黑体"/>
          <w:b w:val="0"/>
          <w:bCs w:val="0"/>
        </w:rPr>
        <w:t>六、改进措施</w:t>
      </w:r>
      <w:bookmarkEnd w:id="55"/>
    </w:p>
    <w:p>
      <w:pPr>
        <w:snapToGrid w:val="0"/>
        <w:spacing w:line="360" w:lineRule="auto"/>
        <w:ind w:firstLine="560" w:firstLineChars="200"/>
        <w:rPr>
          <w:rFonts w:ascii="仿宋" w:hAnsi="仿宋" w:eastAsia="仿宋"/>
          <w:spacing w:val="-7"/>
          <w:w w:val="110"/>
          <w:sz w:val="28"/>
          <w:szCs w:val="28"/>
        </w:rPr>
      </w:pPr>
      <w:r>
        <w:rPr>
          <w:rFonts w:ascii="仿宋" w:hAnsi="仿宋" w:eastAsia="仿宋"/>
          <w:sz w:val="28"/>
          <w:szCs w:val="28"/>
        </w:rPr>
        <w:t>学位点将</w:t>
      </w:r>
      <w:r>
        <w:rPr>
          <w:rFonts w:hint="eastAsia" w:ascii="仿宋" w:hAnsi="仿宋" w:eastAsia="仿宋" w:cs="仿宋"/>
          <w:sz w:val="30"/>
          <w:szCs w:val="30"/>
        </w:rPr>
        <w:t>坚持以党的二十大精神以及习近平总书记考察湖南时重要讲话指示精神为指导，</w:t>
      </w:r>
      <w:r>
        <w:rPr>
          <w:rFonts w:hint="eastAsia" w:ascii="仿宋" w:hAnsi="仿宋" w:eastAsia="仿宋" w:cs="宋体"/>
          <w:sz w:val="28"/>
          <w:szCs w:val="28"/>
        </w:rPr>
        <w:t>抢抓“十四五”学科发展、委省共建以及学校获得湖南省双一流高校建设机遇，积极争取各级政府在政策、项目和经费方面的支持，</w:t>
      </w:r>
      <w:r>
        <w:rPr>
          <w:rFonts w:hint="eastAsia" w:ascii="仿宋" w:hAnsi="仿宋" w:eastAsia="仿宋"/>
          <w:spacing w:val="-7"/>
          <w:w w:val="110"/>
          <w:sz w:val="28"/>
          <w:szCs w:val="28"/>
        </w:rPr>
        <w:t>提高研究水平，强化学科特色，不断提高学位点综合实力。</w:t>
      </w:r>
    </w:p>
    <w:p>
      <w:pPr>
        <w:snapToGrid w:val="0"/>
        <w:spacing w:line="360" w:lineRule="auto"/>
        <w:ind w:firstLine="562" w:firstLineChars="200"/>
        <w:rPr>
          <w:rFonts w:ascii="仿宋" w:hAnsi="仿宋" w:eastAsia="仿宋"/>
          <w:spacing w:val="-7"/>
          <w:w w:val="110"/>
          <w:sz w:val="28"/>
          <w:szCs w:val="28"/>
        </w:rPr>
      </w:pPr>
      <w:r>
        <w:rPr>
          <w:rFonts w:hint="eastAsia" w:ascii="仿宋" w:hAnsi="仿宋" w:eastAsia="仿宋" w:cs="宋体"/>
          <w:b/>
          <w:bCs/>
          <w:sz w:val="28"/>
          <w:szCs w:val="28"/>
        </w:rPr>
        <w:t>（1）实施研究生金课建设工程。</w:t>
      </w:r>
      <w:r>
        <w:rPr>
          <w:rFonts w:hint="eastAsia" w:ascii="仿宋" w:hAnsi="仿宋" w:eastAsia="仿宋" w:cs="宋体"/>
          <w:sz w:val="28"/>
          <w:szCs w:val="28"/>
        </w:rPr>
        <w:t>推进研究生课程思政建设项目，实现课程教学与研究生思想政治工作的融合。以培养方案优化为基础，持续推进学术研究生课程设计和课程内容的持续更新。出台课程教学考核与激励机制，强化课程教学督导，激发任课教师提升教学质量的积极性，支持和鼓励任课教师积极申报省级一流研究生课程；鼓励和支持任课教师立足研究生培养特色，充分立足本土资源案例和研究成果，编写并出版具有本土特色的研究生教材。鼓励和支持任课教师立足数字经济时代的新要求，持续推进教学手段“现代化”、教学内容“前沿化”、教学资源“本土化”的研究生课程教学改革。</w:t>
      </w:r>
      <w:r>
        <w:rPr>
          <w:rFonts w:hint="eastAsia" w:ascii="仿宋" w:hAnsi="仿宋" w:eastAsia="仿宋"/>
          <w:spacing w:val="-7"/>
          <w:w w:val="110"/>
          <w:sz w:val="28"/>
          <w:szCs w:val="28"/>
        </w:rPr>
        <w:t>进一步优化人才培养方案，完善“三层次，三结合”的课程体系，即按学科基础课、专业基础课、选修课三个层次设置课程，坚持理论与应用相结合，选修课与方向前沿研究相结合，研究选题与区域发展相结合，强化课程特色；</w:t>
      </w:r>
    </w:p>
    <w:p>
      <w:pPr>
        <w:snapToGrid w:val="0"/>
        <w:spacing w:line="360" w:lineRule="auto"/>
        <w:ind w:firstLine="590"/>
        <w:rPr>
          <w:rFonts w:ascii="仿宋" w:hAnsi="仿宋" w:eastAsia="仿宋" w:cs="宋体"/>
          <w:sz w:val="28"/>
          <w:szCs w:val="28"/>
        </w:rPr>
      </w:pPr>
      <w:r>
        <w:rPr>
          <w:rFonts w:hint="eastAsia" w:ascii="仿宋" w:hAnsi="仿宋" w:eastAsia="仿宋" w:cs="宋体"/>
          <w:b/>
          <w:bCs/>
          <w:sz w:val="28"/>
          <w:szCs w:val="28"/>
        </w:rPr>
        <w:t>（</w:t>
      </w:r>
      <w:r>
        <w:rPr>
          <w:rFonts w:ascii="仿宋" w:hAnsi="仿宋" w:eastAsia="仿宋" w:cs="宋体"/>
          <w:b/>
          <w:bCs/>
          <w:sz w:val="28"/>
          <w:szCs w:val="28"/>
        </w:rPr>
        <w:t>2</w:t>
      </w:r>
      <w:r>
        <w:rPr>
          <w:rFonts w:hint="eastAsia" w:ascii="仿宋" w:hAnsi="仿宋" w:eastAsia="仿宋" w:cs="宋体"/>
          <w:b/>
          <w:bCs/>
          <w:sz w:val="28"/>
          <w:szCs w:val="28"/>
        </w:rPr>
        <w:t>）实施研究生金牌导师建设工程。</w:t>
      </w:r>
      <w:r>
        <w:rPr>
          <w:rFonts w:hint="eastAsia" w:ascii="仿宋" w:hAnsi="仿宋" w:eastAsia="仿宋" w:cs="宋体"/>
          <w:sz w:val="28"/>
          <w:szCs w:val="28"/>
        </w:rPr>
        <w:t>努力引进高水平学科带头人和高层次中青年学术骨干；针对西部民族地区高层次人才的迫切需要，积极邀请国内外专家来校指导，主动争取专家理解和支持，加快学科建设步伐，提高人才培养质量。持续推进研究团队建设，以服务区域经济社会发展为目标，进一步凝练学科方向，搭建较高层次学科平台，引进和培养较高水平学科队伍。高度重视导师能力和素质建设工作，</w:t>
      </w:r>
      <w:r>
        <w:rPr>
          <w:rFonts w:hint="eastAsia" w:ascii="仿宋" w:hAnsi="仿宋" w:eastAsia="仿宋" w:cs="宋体"/>
          <w:kern w:val="0"/>
          <w:sz w:val="28"/>
          <w:szCs w:val="28"/>
        </w:rPr>
        <w:t>充分利用好对口支援高校资源，通过定期培训和交流学习，切实提升导师的指导能力和水平。</w:t>
      </w:r>
      <w:r>
        <w:rPr>
          <w:rFonts w:hint="eastAsia" w:ascii="仿宋" w:hAnsi="仿宋" w:eastAsia="仿宋" w:cs="宋体"/>
          <w:sz w:val="28"/>
          <w:szCs w:val="28"/>
        </w:rPr>
        <w:t>支持和鼓励老师积极申报校级和省级研究生教研教改项目，鼓励和支持导师持续创新研究生培养机制，不断提升研究生培养质量。推进导师考核与激励机制创新，突出</w:t>
      </w:r>
      <w:r>
        <w:rPr>
          <w:rFonts w:hint="eastAsia" w:ascii="仿宋" w:hAnsi="仿宋" w:eastAsia="仿宋" w:cs="宋体"/>
          <w:kern w:val="0"/>
          <w:sz w:val="28"/>
          <w:szCs w:val="28"/>
        </w:rPr>
        <w:t>研究生导师在研究生培养中的主体地位，激发导师责任心和积极性。</w:t>
      </w:r>
    </w:p>
    <w:p>
      <w:pPr>
        <w:snapToGrid w:val="0"/>
        <w:spacing w:line="360" w:lineRule="auto"/>
        <w:ind w:firstLine="562" w:firstLineChars="200"/>
        <w:rPr>
          <w:rFonts w:ascii="仿宋" w:hAnsi="仿宋" w:eastAsia="仿宋"/>
          <w:spacing w:val="-7"/>
          <w:w w:val="110"/>
          <w:sz w:val="28"/>
          <w:szCs w:val="28"/>
        </w:rPr>
      </w:pPr>
      <w:r>
        <w:rPr>
          <w:rFonts w:hint="eastAsia" w:ascii="仿宋" w:hAnsi="仿宋" w:eastAsia="仿宋" w:cs="宋体"/>
          <w:b/>
          <w:bCs/>
          <w:sz w:val="28"/>
          <w:szCs w:val="28"/>
        </w:rPr>
        <w:t>（</w:t>
      </w:r>
      <w:r>
        <w:rPr>
          <w:rFonts w:ascii="仿宋" w:hAnsi="仿宋" w:eastAsia="仿宋" w:cs="宋体"/>
          <w:b/>
          <w:bCs/>
          <w:sz w:val="28"/>
          <w:szCs w:val="28"/>
        </w:rPr>
        <w:t>3</w:t>
      </w:r>
      <w:r>
        <w:rPr>
          <w:rFonts w:hint="eastAsia" w:ascii="仿宋" w:hAnsi="仿宋" w:eastAsia="仿宋" w:cs="宋体"/>
          <w:b/>
          <w:bCs/>
          <w:sz w:val="28"/>
          <w:szCs w:val="28"/>
        </w:rPr>
        <w:t>）推进研究生培养平台建设工程。</w:t>
      </w:r>
      <w:r>
        <w:rPr>
          <w:rFonts w:hint="eastAsia" w:ascii="仿宋" w:hAnsi="仿宋" w:eastAsia="仿宋" w:cs="宋体"/>
          <w:sz w:val="28"/>
          <w:szCs w:val="28"/>
        </w:rPr>
        <w:t>加大投入，坚持“请进来”与“走出去”并行，通过主办、承办、协办各类国际国内学术会议，为本学科师生开展学术交流活动搭建平台；积极创造有利条件，支持师生赴海内外学习交流，开阔学术视野，提升学术水平。定期举办研究生案例讲座和学术沙龙，切实提升研究生参加案例大赛的质量。强化对外交流合作，紧密联系相关学科教指委和专家学者，举办好风雨湖大讲堂等教育平台。加强与校友联系，强化校友资源利用，发挥校友在案例开发、研究生实习等方面的特殊作用。支持和鼓励老师积极申报校级和省级研究生培养创新基地，切实提升基地的建设质量。</w:t>
      </w:r>
      <w:r>
        <w:rPr>
          <w:rFonts w:hint="eastAsia" w:ascii="仿宋" w:hAnsi="仿宋" w:eastAsia="仿宋"/>
          <w:spacing w:val="-7"/>
          <w:w w:val="110"/>
          <w:sz w:val="28"/>
          <w:szCs w:val="28"/>
        </w:rPr>
        <w:t>充分利用教育部确定的对口支援高校—中山大学和湖南省政府确定的对口支援高校—湖南师范大学的图书资源和数据库资源，部分解决外文资料不足的问题。</w:t>
      </w:r>
    </w:p>
    <w:p>
      <w:pPr>
        <w:snapToGrid w:val="0"/>
        <w:spacing w:line="360" w:lineRule="auto"/>
        <w:ind w:firstLine="590"/>
        <w:rPr>
          <w:rFonts w:ascii="仿宋" w:hAnsi="仿宋" w:eastAsia="仿宋" w:cs="宋体"/>
          <w:b/>
          <w:bCs/>
          <w:sz w:val="28"/>
          <w:szCs w:val="28"/>
        </w:rPr>
      </w:pPr>
      <w:r>
        <w:rPr>
          <w:rFonts w:hint="eastAsia" w:ascii="仿宋" w:hAnsi="仿宋" w:eastAsia="仿宋" w:cs="宋体"/>
          <w:b/>
          <w:bCs/>
          <w:sz w:val="28"/>
          <w:szCs w:val="28"/>
        </w:rPr>
        <w:t>（4）实施研究生科研创新素质提升工程。</w:t>
      </w:r>
      <w:r>
        <w:rPr>
          <w:rFonts w:hint="eastAsia" w:ascii="仿宋" w:hAnsi="仿宋" w:eastAsia="仿宋" w:cs="宋体"/>
          <w:sz w:val="28"/>
          <w:szCs w:val="28"/>
        </w:rPr>
        <w:t>发挥好风雨湖大讲堂、研究生学术沙龙等学术交流平台的作用，鼓励和支持研究生进行论文成果、案例探索、想法创思等类型的学术报告和学术交流；鼓励和支持研究生申报各级各类课题、参与导师课题研究、参与学术交流、参与社会服务，支持研究生发表高质量论文和攻读博士学位，切实提升自身科研创新能力。以湖南省MBA企业案例大赛、湖南省MPAcc企业案例大赛、湖南省研究生数学建模竞赛、全国大学生市场调查与分析大赛等项目为基础，切实发挥导师的积极性，以赛促学，持续推进研究生学科竞赛项目质量提升。创新研究生实践能力培养机制，建设一批高质量的研究生实践教学基地和实践课程，强化研究生实践培养环节的考核与服务，切实提升实践培养环节质量。</w:t>
      </w:r>
    </w:p>
    <w:p>
      <w:pPr>
        <w:snapToGrid w:val="0"/>
        <w:spacing w:line="360" w:lineRule="auto"/>
        <w:ind w:firstLine="590"/>
        <w:rPr>
          <w:rFonts w:ascii="仿宋" w:hAnsi="仿宋" w:eastAsia="仿宋" w:cs="宋体"/>
          <w:sz w:val="28"/>
          <w:szCs w:val="28"/>
        </w:rPr>
      </w:pPr>
      <w:r>
        <w:rPr>
          <w:rFonts w:hint="eastAsia" w:ascii="仿宋" w:hAnsi="仿宋" w:eastAsia="仿宋" w:cs="宋体"/>
          <w:b/>
          <w:bCs/>
          <w:sz w:val="28"/>
          <w:szCs w:val="28"/>
        </w:rPr>
        <w:t>（5）创新研究生教育管理机制。</w:t>
      </w:r>
      <w:r>
        <w:rPr>
          <w:rFonts w:hint="eastAsia" w:ascii="仿宋" w:hAnsi="仿宋" w:eastAsia="仿宋" w:cs="宋体"/>
          <w:sz w:val="28"/>
          <w:szCs w:val="28"/>
        </w:rPr>
        <w:t>发挥好学院党委、行政、导师等主体的协同作用，加强研究生思想政治教育。推进研究生的精细化管理，按照项目管理的机制管理各项工作，按照工程思维来推动过程管理，不断优化研究生教育管理的流程，做好研究生培养和管理各环节的质量控制。提升研究生教育品牌意识，推进研究生高水平论文、高水平项目和高水平奖项等“三高”工程。持续优化研究生教学环境，推进研究生案例讨论室、研究生自习室、学术沙龙室、专业教室等基础设施建设，提升管理质量和管理水平。推进研究生教育与学科建设融合，切实提升研究生培养质量。强化研究生教学督导和学风建设，落实好导师责任制，确保研究生授课质量。做好调查研究，强化研究生招生宣传工作，切实提升报考数量和质量。进一步强化培养质量保障体系建设，加大经费投入，改善办学条件，加强培养过程管理，强化导师责任，不断提高研究生培养质量。</w:t>
      </w:r>
    </w:p>
    <w:p>
      <w:pPr>
        <w:snapToGrid w:val="0"/>
        <w:spacing w:line="360" w:lineRule="auto"/>
        <w:ind w:firstLine="590"/>
        <w:rPr>
          <w:rFonts w:ascii="仿宋" w:hAnsi="仿宋" w:eastAsia="仿宋" w:cs="宋体"/>
          <w:sz w:val="28"/>
          <w:szCs w:val="28"/>
        </w:rPr>
      </w:pPr>
      <w:r>
        <w:rPr>
          <w:rFonts w:hint="eastAsia" w:ascii="仿宋" w:hAnsi="仿宋" w:eastAsia="仿宋" w:cs="宋体"/>
          <w:b/>
          <w:bCs/>
          <w:sz w:val="28"/>
          <w:szCs w:val="28"/>
        </w:rPr>
        <w:t>（6）切实提升研究生就业率。</w:t>
      </w:r>
      <w:r>
        <w:rPr>
          <w:rFonts w:hint="eastAsia" w:ascii="仿宋" w:hAnsi="仿宋" w:eastAsia="仿宋" w:cs="宋体"/>
          <w:sz w:val="28"/>
          <w:szCs w:val="28"/>
        </w:rPr>
        <w:t>一是加强研究生办和导师协同，及时沟通了解学生情况，提供更好的就业面试建议等就业服务。二是切实做好就业思想工作，发挥好导师在学生就业中的关键作用，推动学生改变就业观念，不要对体制内工作过于执着，扩大择业面。三是做好就业岗位推荐，通过校友等渠道提供更多就业岗位，督促研究生尽快就业。</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NzkwMzlmOGU3OTY1MDliMGIzNGQ4M2RkNDZlYjQifQ=="/>
  </w:docVars>
  <w:rsids>
    <w:rsidRoot w:val="50B15851"/>
    <w:rsid w:val="000214C6"/>
    <w:rsid w:val="00044217"/>
    <w:rsid w:val="00045518"/>
    <w:rsid w:val="00062687"/>
    <w:rsid w:val="00071760"/>
    <w:rsid w:val="000729D4"/>
    <w:rsid w:val="00072F32"/>
    <w:rsid w:val="00076569"/>
    <w:rsid w:val="000846FB"/>
    <w:rsid w:val="000A5AD0"/>
    <w:rsid w:val="000C2E9A"/>
    <w:rsid w:val="00147C01"/>
    <w:rsid w:val="00172A19"/>
    <w:rsid w:val="00173AE0"/>
    <w:rsid w:val="001A2025"/>
    <w:rsid w:val="001A315A"/>
    <w:rsid w:val="001A55B7"/>
    <w:rsid w:val="001B76E5"/>
    <w:rsid w:val="001E020C"/>
    <w:rsid w:val="001F6C35"/>
    <w:rsid w:val="00200CBC"/>
    <w:rsid w:val="00202AB8"/>
    <w:rsid w:val="0022561A"/>
    <w:rsid w:val="002449DA"/>
    <w:rsid w:val="002512D7"/>
    <w:rsid w:val="00264FF6"/>
    <w:rsid w:val="002846E9"/>
    <w:rsid w:val="00292AC6"/>
    <w:rsid w:val="002B3872"/>
    <w:rsid w:val="002B3DEF"/>
    <w:rsid w:val="002B56C1"/>
    <w:rsid w:val="002C3163"/>
    <w:rsid w:val="002E0247"/>
    <w:rsid w:val="002E1D6C"/>
    <w:rsid w:val="003020A1"/>
    <w:rsid w:val="0032276F"/>
    <w:rsid w:val="003957D0"/>
    <w:rsid w:val="003962DA"/>
    <w:rsid w:val="00411AC3"/>
    <w:rsid w:val="00456474"/>
    <w:rsid w:val="00482FED"/>
    <w:rsid w:val="00485AE0"/>
    <w:rsid w:val="004D381E"/>
    <w:rsid w:val="00502AFB"/>
    <w:rsid w:val="00504F12"/>
    <w:rsid w:val="005236D3"/>
    <w:rsid w:val="00553200"/>
    <w:rsid w:val="0056589C"/>
    <w:rsid w:val="0059098F"/>
    <w:rsid w:val="005B3911"/>
    <w:rsid w:val="005E145A"/>
    <w:rsid w:val="005F638B"/>
    <w:rsid w:val="005F6BDB"/>
    <w:rsid w:val="00671044"/>
    <w:rsid w:val="006A7C1C"/>
    <w:rsid w:val="006B0E0B"/>
    <w:rsid w:val="006C4D42"/>
    <w:rsid w:val="006C622D"/>
    <w:rsid w:val="006C70C6"/>
    <w:rsid w:val="006D4314"/>
    <w:rsid w:val="006F28F0"/>
    <w:rsid w:val="00742DEB"/>
    <w:rsid w:val="00753290"/>
    <w:rsid w:val="00771ED3"/>
    <w:rsid w:val="007734E6"/>
    <w:rsid w:val="007C45A1"/>
    <w:rsid w:val="007D08D0"/>
    <w:rsid w:val="007F15FC"/>
    <w:rsid w:val="0087381F"/>
    <w:rsid w:val="00874686"/>
    <w:rsid w:val="00880C36"/>
    <w:rsid w:val="00892CD1"/>
    <w:rsid w:val="00897B00"/>
    <w:rsid w:val="00920538"/>
    <w:rsid w:val="00947D2E"/>
    <w:rsid w:val="0097136B"/>
    <w:rsid w:val="00983209"/>
    <w:rsid w:val="009A39A5"/>
    <w:rsid w:val="009C3F08"/>
    <w:rsid w:val="009C7596"/>
    <w:rsid w:val="00A0605F"/>
    <w:rsid w:val="00AA7B2A"/>
    <w:rsid w:val="00AD0AFD"/>
    <w:rsid w:val="00AD7D55"/>
    <w:rsid w:val="00AE3311"/>
    <w:rsid w:val="00AF2B62"/>
    <w:rsid w:val="00B17106"/>
    <w:rsid w:val="00B21085"/>
    <w:rsid w:val="00B2422F"/>
    <w:rsid w:val="00B57A0A"/>
    <w:rsid w:val="00B7748B"/>
    <w:rsid w:val="00B81709"/>
    <w:rsid w:val="00BA5C4E"/>
    <w:rsid w:val="00BD2126"/>
    <w:rsid w:val="00C41B8E"/>
    <w:rsid w:val="00C4793F"/>
    <w:rsid w:val="00C5767A"/>
    <w:rsid w:val="00C625BD"/>
    <w:rsid w:val="00C935D7"/>
    <w:rsid w:val="00D267B4"/>
    <w:rsid w:val="00D268A4"/>
    <w:rsid w:val="00D510D0"/>
    <w:rsid w:val="00D56697"/>
    <w:rsid w:val="00D60527"/>
    <w:rsid w:val="00D71081"/>
    <w:rsid w:val="00D85070"/>
    <w:rsid w:val="00D9706E"/>
    <w:rsid w:val="00DA5E8D"/>
    <w:rsid w:val="00DB1E7E"/>
    <w:rsid w:val="00DB6342"/>
    <w:rsid w:val="00DC1A43"/>
    <w:rsid w:val="00E100B0"/>
    <w:rsid w:val="00E31583"/>
    <w:rsid w:val="00E37F8C"/>
    <w:rsid w:val="00E43198"/>
    <w:rsid w:val="00E61B5C"/>
    <w:rsid w:val="00E66F7D"/>
    <w:rsid w:val="00E735B1"/>
    <w:rsid w:val="00E80C99"/>
    <w:rsid w:val="00E86FA4"/>
    <w:rsid w:val="00E97E6A"/>
    <w:rsid w:val="00EA562B"/>
    <w:rsid w:val="00EB6C35"/>
    <w:rsid w:val="00ED3C74"/>
    <w:rsid w:val="00F23EE8"/>
    <w:rsid w:val="00F34701"/>
    <w:rsid w:val="00F35301"/>
    <w:rsid w:val="00F44ED2"/>
    <w:rsid w:val="00F80F9D"/>
    <w:rsid w:val="00FA5C1D"/>
    <w:rsid w:val="00FB49F7"/>
    <w:rsid w:val="00FD05C7"/>
    <w:rsid w:val="04FD38C5"/>
    <w:rsid w:val="06AA5388"/>
    <w:rsid w:val="0A420D20"/>
    <w:rsid w:val="0BA859D4"/>
    <w:rsid w:val="0D46360A"/>
    <w:rsid w:val="13A935BD"/>
    <w:rsid w:val="145B4C97"/>
    <w:rsid w:val="1647579E"/>
    <w:rsid w:val="1A2E26D7"/>
    <w:rsid w:val="1FB519E5"/>
    <w:rsid w:val="244A27F5"/>
    <w:rsid w:val="27F7652E"/>
    <w:rsid w:val="29056591"/>
    <w:rsid w:val="29707988"/>
    <w:rsid w:val="2C501851"/>
    <w:rsid w:val="2EB316F0"/>
    <w:rsid w:val="30140919"/>
    <w:rsid w:val="31B21684"/>
    <w:rsid w:val="38082217"/>
    <w:rsid w:val="40D33D5E"/>
    <w:rsid w:val="4A6D43F8"/>
    <w:rsid w:val="4FEE7670"/>
    <w:rsid w:val="505E2487"/>
    <w:rsid w:val="50B15851"/>
    <w:rsid w:val="5707121C"/>
    <w:rsid w:val="59104463"/>
    <w:rsid w:val="5A647BDD"/>
    <w:rsid w:val="5EDA046D"/>
    <w:rsid w:val="5FDE12AF"/>
    <w:rsid w:val="61496764"/>
    <w:rsid w:val="633454C3"/>
    <w:rsid w:val="6477359A"/>
    <w:rsid w:val="6B6609EE"/>
    <w:rsid w:val="6D861D56"/>
    <w:rsid w:val="6FC92F48"/>
    <w:rsid w:val="7CB05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3"/>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7">
    <w:name w:val="Body Text"/>
    <w:basedOn w:val="1"/>
    <w:qFormat/>
    <w:uiPriority w:val="0"/>
    <w:pPr>
      <w:spacing w:after="120"/>
    </w:pPr>
  </w:style>
  <w:style w:type="paragraph" w:styleId="8">
    <w:name w:val="toc 3"/>
    <w:basedOn w:val="1"/>
    <w:next w:val="1"/>
    <w:uiPriority w:val="39"/>
    <w:pPr>
      <w:ind w:left="840" w:leftChars="4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uiPriority w:val="39"/>
    <w:pPr>
      <w:ind w:left="420" w:leftChars="200"/>
    </w:pPr>
  </w:style>
  <w:style w:type="character" w:styleId="15">
    <w:name w:val="Strong"/>
    <w:basedOn w:val="14"/>
    <w:qFormat/>
    <w:uiPriority w:val="22"/>
    <w:rPr>
      <w:b/>
      <w:bCs/>
    </w:rPr>
  </w:style>
  <w:style w:type="character" w:styleId="16">
    <w:name w:val="Hyperlink"/>
    <w:basedOn w:val="14"/>
    <w:unhideWhenUsed/>
    <w:uiPriority w:val="99"/>
    <w:rPr>
      <w:color w:val="0563C1" w:themeColor="hyperlink"/>
      <w:u w:val="single"/>
      <w14:textFill>
        <w14:solidFill>
          <w14:schemeClr w14:val="hlink"/>
        </w14:solidFill>
      </w14:textFill>
    </w:rPr>
  </w:style>
  <w:style w:type="character" w:customStyle="1" w:styleId="17">
    <w:name w:val="font01"/>
    <w:basedOn w:val="14"/>
    <w:uiPriority w:val="0"/>
    <w:rPr>
      <w:rFonts w:hint="eastAsia" w:ascii="宋体" w:hAnsi="宋体" w:eastAsia="宋体" w:cs="宋体"/>
      <w:color w:val="000000"/>
      <w:sz w:val="22"/>
      <w:szCs w:val="22"/>
      <w:u w:val="none"/>
    </w:rPr>
  </w:style>
  <w:style w:type="character" w:customStyle="1" w:styleId="18">
    <w:name w:val="font21"/>
    <w:basedOn w:val="14"/>
    <w:qFormat/>
    <w:uiPriority w:val="0"/>
    <w:rPr>
      <w:rFonts w:hint="default" w:ascii="Times New Roman" w:hAnsi="Times New Roman" w:cs="Times New Roman"/>
      <w:color w:val="000000"/>
      <w:sz w:val="22"/>
      <w:szCs w:val="22"/>
      <w:u w:val="none"/>
    </w:rPr>
  </w:style>
  <w:style w:type="character" w:customStyle="1" w:styleId="19">
    <w:name w:val="font41"/>
    <w:basedOn w:val="14"/>
    <w:qFormat/>
    <w:uiPriority w:val="0"/>
    <w:rPr>
      <w:rFonts w:hint="eastAsia" w:ascii="宋体" w:hAnsi="宋体" w:eastAsia="宋体" w:cs="宋体"/>
      <w:color w:val="000000"/>
      <w:sz w:val="22"/>
      <w:szCs w:val="22"/>
      <w:u w:val="none"/>
    </w:rPr>
  </w:style>
  <w:style w:type="character" w:customStyle="1" w:styleId="20">
    <w:name w:val="font81"/>
    <w:basedOn w:val="14"/>
    <w:qFormat/>
    <w:uiPriority w:val="0"/>
    <w:rPr>
      <w:rFonts w:hint="eastAsia" w:ascii="宋体" w:hAnsi="宋体" w:eastAsia="宋体" w:cs="宋体"/>
      <w:color w:val="000000"/>
      <w:sz w:val="22"/>
      <w:szCs w:val="22"/>
      <w:u w:val="none"/>
    </w:rPr>
  </w:style>
  <w:style w:type="character" w:customStyle="1" w:styleId="21">
    <w:name w:val="font61"/>
    <w:basedOn w:val="14"/>
    <w:qFormat/>
    <w:uiPriority w:val="0"/>
    <w:rPr>
      <w:rFonts w:hint="default" w:ascii="Times New Roman" w:hAnsi="Times New Roman" w:cs="Times New Roman"/>
      <w:color w:val="000000"/>
      <w:sz w:val="22"/>
      <w:szCs w:val="22"/>
      <w:u w:val="none"/>
    </w:rPr>
  </w:style>
  <w:style w:type="character" w:customStyle="1" w:styleId="22">
    <w:name w:val="标题 2 字符"/>
    <w:basedOn w:val="14"/>
    <w:link w:val="5"/>
    <w:qFormat/>
    <w:uiPriority w:val="0"/>
    <w:rPr>
      <w:rFonts w:asciiTheme="majorHAnsi" w:hAnsiTheme="majorHAnsi" w:eastAsiaTheme="majorEastAsia" w:cstheme="majorBidi"/>
      <w:b/>
      <w:bCs/>
      <w:kern w:val="2"/>
      <w:sz w:val="32"/>
      <w:szCs w:val="32"/>
    </w:rPr>
  </w:style>
  <w:style w:type="character" w:customStyle="1" w:styleId="23">
    <w:name w:val="标题 3 字符"/>
    <w:basedOn w:val="14"/>
    <w:link w:val="6"/>
    <w:qFormat/>
    <w:uiPriority w:val="0"/>
    <w:rPr>
      <w:b/>
      <w:bCs/>
      <w:kern w:val="2"/>
      <w:sz w:val="32"/>
      <w:szCs w:val="32"/>
    </w:rPr>
  </w:style>
  <w:style w:type="character" w:customStyle="1" w:styleId="24">
    <w:name w:val="标题 1 字符"/>
    <w:basedOn w:val="14"/>
    <w:link w:val="4"/>
    <w:uiPriority w:val="0"/>
    <w:rPr>
      <w:b/>
      <w:bCs/>
      <w:kern w:val="44"/>
      <w:sz w:val="44"/>
      <w:szCs w:val="44"/>
    </w:rPr>
  </w:style>
  <w:style w:type="paragraph" w:customStyle="1" w:styleId="25">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6">
    <w:name w:val="Char Char Char Char Char Char Char Char"/>
    <w:basedOn w:val="1"/>
    <w:uiPriority w:val="0"/>
    <w:pPr>
      <w:widowControl/>
      <w:spacing w:after="160" w:line="240" w:lineRule="exact"/>
      <w:jc w:val="left"/>
    </w:pPr>
    <w:rPr>
      <w:rFonts w:ascii="Verdana" w:hAnsi="Verdana"/>
      <w:kern w:val="0"/>
      <w:sz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C9E2D-DE63-4C06-92A0-47EB5280D80C}">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12625</Words>
  <Characters>13871</Characters>
  <Lines>116</Lines>
  <Paragraphs>32</Paragraphs>
  <TotalTime>404</TotalTime>
  <ScaleCrop>false</ScaleCrop>
  <LinksUpToDate>false</LinksUpToDate>
  <CharactersWithSpaces>14026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2021-03-01T01:13:00Z</dcterms:created>
  <dc:creator>wulala</dc:creator>
  <cp:lastModifiedBy>86153</cp:lastModifiedBy>
  <dcterms:modified xsi:type="dcterms:W3CDTF">2023-02-22T08:54:54Z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B88A3FD01C2349E78064416B0676A63E</vt:lpwstr>
  </property>
</Properties>
</file>