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4"/>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4"/>
                    <a:srcRect l="20328" r="22957" b="38481"/>
                    <a:stretch>
                      <a:fillRect/>
                    </a:stretch>
                  </pic:blipFill>
                  <pic:spPr>
                    <a:xfrm>
                      <a:off x="0" y="0"/>
                      <a:ext cx="1421130" cy="1327785"/>
                    </a:xfrm>
                    <a:prstGeom prst="rect">
                      <a:avLst/>
                    </a:prstGeom>
                    <a:noFill/>
                    <a:ln>
                      <a:noFill/>
                    </a:ln>
                  </pic:spPr>
                </pic:pic>
              </a:graphicData>
            </a:graphic>
          </wp:inline>
        </w:drawing>
      </w:r>
    </w:p>
    <w:p>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w:t>
      </w:r>
      <w:r>
        <w:rPr>
          <w:rFonts w:hint="eastAsia" w:eastAsia="华文楷体"/>
          <w:bCs/>
          <w:sz w:val="72"/>
          <w:szCs w:val="72"/>
          <w:lang w:val="en-US" w:eastAsia="zh-CN"/>
        </w:rPr>
        <w:t>2</w:t>
      </w:r>
      <w:r>
        <w:rPr>
          <w:rFonts w:hint="eastAsia" w:ascii="华文楷体" w:hAnsi="华文楷体" w:eastAsia="华文楷体" w:cs="华文楷体"/>
          <w:bCs/>
          <w:sz w:val="72"/>
          <w:szCs w:val="72"/>
        </w:rPr>
        <w:t>）</w:t>
      </w:r>
    </w:p>
    <w:tbl>
      <w:tblPr>
        <w:tblStyle w:val="13"/>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tbl>
      <w:tblPr>
        <w:tblStyle w:val="13"/>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 xml:space="preserve">名称：应用经济学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 0202</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tbl>
      <w:tblPr>
        <w:tblStyle w:val="13"/>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lang w:bidi="ar"/>
              </w:rPr>
              <w:sym w:font="Wingdings 2" w:char="00A3"/>
            </w:r>
            <w:r>
              <w:rPr>
                <w:rFonts w:hint="eastAsia" w:ascii="仿宋" w:hAnsi="仿宋" w:eastAsia="仿宋" w:cs="仿宋"/>
                <w:spacing w:val="69"/>
                <w:kern w:val="0"/>
                <w:position w:val="-15"/>
                <w:sz w:val="32"/>
                <w:szCs w:val="32"/>
                <w:lang w:bidi="ar"/>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3" w:afterAutospacing="1"/>
        <w:ind w:firstLine="2880" w:firstLineChars="900"/>
        <w:jc w:val="left"/>
        <w:rPr>
          <w:rFonts w:ascii="仿宋" w:hAnsi="仿宋" w:eastAsia="仿宋" w:cs="仿宋"/>
          <w:kern w:val="0"/>
          <w:sz w:val="32"/>
          <w:szCs w:val="32"/>
        </w:rPr>
      </w:pPr>
    </w:p>
    <w:p>
      <w:pPr>
        <w:widowControl/>
        <w:spacing w:before="298" w:afterAutospacing="1"/>
        <w:ind w:firstLine="3047"/>
        <w:jc w:val="left"/>
        <w:rPr>
          <w:rFonts w:ascii="仿宋" w:hAnsi="仿宋" w:eastAsia="仿宋" w:cs="仿宋"/>
          <w:kern w:val="0"/>
          <w:sz w:val="32"/>
          <w:szCs w:val="32"/>
        </w:rPr>
      </w:pPr>
      <w:r>
        <w:rPr>
          <w:rFonts w:eastAsia="仿宋"/>
          <w:spacing w:val="-11"/>
          <w:kern w:val="0"/>
          <w:sz w:val="32"/>
          <w:szCs w:val="32"/>
          <w:lang w:bidi="ar"/>
        </w:rPr>
        <w:t>202</w:t>
      </w:r>
      <w:r>
        <w:rPr>
          <w:rFonts w:hint="eastAsia" w:eastAsia="仿宋"/>
          <w:spacing w:val="-11"/>
          <w:kern w:val="0"/>
          <w:sz w:val="32"/>
          <w:szCs w:val="32"/>
          <w:lang w:val="en-US" w:eastAsia="zh-CN" w:bidi="ar"/>
        </w:rPr>
        <w:t>2</w:t>
      </w:r>
      <w:r>
        <w:rPr>
          <w:rFonts w:hint="eastAsia" w:ascii="仿宋" w:hAnsi="仿宋" w:eastAsia="仿宋" w:cs="仿宋"/>
          <w:spacing w:val="-11"/>
          <w:kern w:val="0"/>
          <w:sz w:val="32"/>
          <w:szCs w:val="32"/>
          <w:lang w:bidi="ar"/>
        </w:rPr>
        <w:t>年</w:t>
      </w:r>
      <w:r>
        <w:rPr>
          <w:rFonts w:eastAsia="仿宋"/>
          <w:spacing w:val="-11"/>
          <w:kern w:val="0"/>
          <w:sz w:val="32"/>
          <w:szCs w:val="32"/>
          <w:lang w:bidi="ar"/>
        </w:rPr>
        <w:t>12月3</w:t>
      </w:r>
      <w:r>
        <w:rPr>
          <w:rFonts w:hint="eastAsia" w:eastAsia="仿宋"/>
          <w:spacing w:val="-11"/>
          <w:kern w:val="0"/>
          <w:sz w:val="32"/>
          <w:szCs w:val="32"/>
          <w:lang w:bidi="ar"/>
        </w:rPr>
        <w:t>1</w:t>
      </w:r>
      <w:r>
        <w:rPr>
          <w:rFonts w:hint="eastAsia" w:ascii="仿宋" w:hAnsi="仿宋" w:eastAsia="仿宋" w:cs="仿宋"/>
          <w:spacing w:val="-11"/>
          <w:kern w:val="0"/>
          <w:sz w:val="32"/>
          <w:szCs w:val="32"/>
          <w:lang w:bidi="ar"/>
        </w:rPr>
        <w:t>日</w:t>
      </w:r>
    </w:p>
    <w:p>
      <w:pPr>
        <w:pStyle w:val="2"/>
      </w:pPr>
      <w:bookmarkStart w:id="0" w:name="_Hlk92203899"/>
    </w:p>
    <w:bookmarkEnd w:id="0"/>
    <w:sdt>
      <w:sdtPr>
        <w:rPr>
          <w:lang w:val="zh-CN"/>
        </w:rPr>
        <w:id w:val="-800767083"/>
        <w:docPartObj>
          <w:docPartGallery w:val="Table of Contents"/>
          <w:docPartUnique/>
        </w:docPartObj>
      </w:sdtPr>
      <w:sdtEndPr>
        <w:rPr>
          <w:b/>
          <w:bCs/>
          <w:lang w:val="zh-CN"/>
        </w:rPr>
      </w:sdtEndPr>
      <w:sdtContent>
        <w:p>
          <w:pPr>
            <w:spacing w:before="312" w:beforeLines="100" w:after="312" w:afterLines="100"/>
            <w:jc w:val="center"/>
            <w:rPr>
              <w:rFonts w:ascii="黑体" w:hAnsi="黑体" w:eastAsia="黑体" w:cs="黑体"/>
              <w:bCs/>
              <w:sz w:val="44"/>
              <w:szCs w:val="44"/>
            </w:rPr>
          </w:pPr>
          <w:r>
            <w:rPr>
              <w:rFonts w:hint="eastAsia" w:ascii="黑体" w:hAnsi="黑体" w:eastAsia="黑体" w:cs="黑体"/>
              <w:bCs/>
              <w:sz w:val="44"/>
              <w:szCs w:val="44"/>
            </w:rPr>
            <w:t>目  录</w:t>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TOC \o "1-3" \h \z \u </w:instrText>
          </w:r>
          <w:r>
            <w:fldChar w:fldCharType="separate"/>
          </w:r>
          <w:r>
            <w:fldChar w:fldCharType="begin"/>
          </w:r>
          <w:r>
            <w:instrText xml:space="preserve"> HYPERLINK \l "_Toc92457801" </w:instrText>
          </w:r>
          <w:r>
            <w:fldChar w:fldCharType="separate"/>
          </w:r>
          <w:r>
            <w:rPr>
              <w:rStyle w:val="16"/>
              <w:rFonts w:ascii="黑体" w:hAnsi="黑体" w:eastAsia="黑体"/>
              <w:color w:val="auto"/>
              <w:sz w:val="24"/>
              <w:szCs w:val="22"/>
            </w:rPr>
            <w:t>一、总体概况</w:t>
          </w:r>
          <w:r>
            <w:rPr>
              <w:sz w:val="24"/>
              <w:szCs w:val="22"/>
            </w:rPr>
            <w:tab/>
          </w:r>
          <w:r>
            <w:rPr>
              <w:sz w:val="24"/>
              <w:szCs w:val="22"/>
            </w:rPr>
            <w:fldChar w:fldCharType="begin"/>
          </w:r>
          <w:r>
            <w:rPr>
              <w:sz w:val="24"/>
              <w:szCs w:val="22"/>
            </w:rPr>
            <w:instrText xml:space="preserve"> PAGEREF _Toc92457801 \h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"_Toc92457802" </w:instrText>
          </w:r>
          <w:r>
            <w:fldChar w:fldCharType="separate"/>
          </w:r>
          <w:r>
            <w:rPr>
              <w:rStyle w:val="16"/>
              <w:rFonts w:ascii="仿宋" w:hAnsi="仿宋" w:eastAsia="仿宋"/>
              <w:color w:val="auto"/>
              <w:sz w:val="24"/>
              <w:szCs w:val="22"/>
            </w:rPr>
            <w:t>1.学位授权点基本情况</w:t>
          </w:r>
          <w:r>
            <w:rPr>
              <w:sz w:val="24"/>
              <w:szCs w:val="22"/>
            </w:rPr>
            <w:tab/>
          </w:r>
          <w:r>
            <w:rPr>
              <w:sz w:val="24"/>
              <w:szCs w:val="22"/>
            </w:rPr>
            <w:fldChar w:fldCharType="begin"/>
          </w:r>
          <w:r>
            <w:rPr>
              <w:sz w:val="24"/>
              <w:szCs w:val="22"/>
            </w:rPr>
            <w:instrText xml:space="preserve"> PAGEREF _Toc92457802 \h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"_Toc92457803" </w:instrText>
          </w:r>
          <w:r>
            <w:fldChar w:fldCharType="separate"/>
          </w:r>
          <w:r>
            <w:rPr>
              <w:rStyle w:val="16"/>
              <w:rFonts w:ascii="仿宋" w:hAnsi="仿宋" w:eastAsia="仿宋"/>
              <w:color w:val="auto"/>
              <w:sz w:val="24"/>
              <w:szCs w:val="22"/>
            </w:rPr>
            <w:t>2.学位授权点建设情况</w:t>
          </w:r>
          <w:r>
            <w:rPr>
              <w:sz w:val="24"/>
              <w:szCs w:val="22"/>
            </w:rPr>
            <w:tab/>
          </w:r>
          <w:r>
            <w:rPr>
              <w:sz w:val="24"/>
              <w:szCs w:val="22"/>
            </w:rPr>
            <w:fldChar w:fldCharType="begin"/>
          </w:r>
          <w:r>
            <w:rPr>
              <w:sz w:val="24"/>
              <w:szCs w:val="22"/>
            </w:rPr>
            <w:instrText xml:space="preserve"> PAGEREF _Toc92457803 \h </w:instrText>
          </w:r>
          <w:r>
            <w:rPr>
              <w:sz w:val="24"/>
              <w:szCs w:val="22"/>
            </w:rPr>
            <w:fldChar w:fldCharType="separate"/>
          </w:r>
          <w:r>
            <w:rPr>
              <w:sz w:val="24"/>
              <w:szCs w:val="22"/>
            </w:rPr>
            <w:t>4</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"_Toc92457804" </w:instrText>
          </w:r>
          <w:r>
            <w:fldChar w:fldCharType="separate"/>
          </w:r>
          <w:r>
            <w:rPr>
              <w:rStyle w:val="16"/>
              <w:rFonts w:ascii="仿宋" w:hAnsi="仿宋" w:eastAsia="仿宋"/>
              <w:color w:val="auto"/>
              <w:sz w:val="24"/>
              <w:szCs w:val="22"/>
            </w:rPr>
            <w:t>3.研究生招生就业情况</w:t>
          </w:r>
          <w:r>
            <w:rPr>
              <w:sz w:val="24"/>
              <w:szCs w:val="22"/>
            </w:rPr>
            <w:tab/>
          </w:r>
          <w:r>
            <w:rPr>
              <w:sz w:val="24"/>
              <w:szCs w:val="22"/>
            </w:rPr>
            <w:fldChar w:fldCharType="begin"/>
          </w:r>
          <w:r>
            <w:rPr>
              <w:sz w:val="24"/>
              <w:szCs w:val="22"/>
            </w:rPr>
            <w:instrText xml:space="preserve"> PAGEREF _Toc92457804 \h </w:instrText>
          </w:r>
          <w:r>
            <w:rPr>
              <w:sz w:val="24"/>
              <w:szCs w:val="22"/>
            </w:rPr>
            <w:fldChar w:fldCharType="separate"/>
          </w:r>
          <w:r>
            <w:rPr>
              <w:sz w:val="24"/>
              <w:szCs w:val="22"/>
            </w:rPr>
            <w:t>5</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"_Toc92457805" </w:instrText>
          </w:r>
          <w:r>
            <w:fldChar w:fldCharType="separate"/>
          </w:r>
          <w:r>
            <w:rPr>
              <w:rStyle w:val="16"/>
              <w:rFonts w:ascii="仿宋" w:hAnsi="仿宋" w:eastAsia="仿宋"/>
              <w:color w:val="auto"/>
              <w:sz w:val="24"/>
              <w:szCs w:val="22"/>
            </w:rPr>
            <w:t>4.研究生导师状况</w:t>
          </w:r>
          <w:r>
            <w:rPr>
              <w:sz w:val="24"/>
              <w:szCs w:val="22"/>
            </w:rPr>
            <w:tab/>
          </w:r>
          <w:r>
            <w:rPr>
              <w:sz w:val="24"/>
              <w:szCs w:val="22"/>
            </w:rPr>
            <w:fldChar w:fldCharType="begin"/>
          </w:r>
          <w:r>
            <w:rPr>
              <w:sz w:val="24"/>
              <w:szCs w:val="22"/>
            </w:rPr>
            <w:instrText xml:space="preserve"> PAGEREF _Toc92457805 \h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"_Toc92457806" </w:instrText>
          </w:r>
          <w:r>
            <w:fldChar w:fldCharType="separate"/>
          </w:r>
          <w:r>
            <w:rPr>
              <w:rStyle w:val="16"/>
              <w:rFonts w:ascii="黑体" w:hAnsi="黑体" w:eastAsia="黑体"/>
              <w:color w:val="auto"/>
              <w:sz w:val="24"/>
              <w:szCs w:val="22"/>
            </w:rPr>
            <w:t>二、研究生党建与思想政治教育工作</w:t>
          </w:r>
          <w:r>
            <w:rPr>
              <w:sz w:val="24"/>
              <w:szCs w:val="22"/>
            </w:rPr>
            <w:tab/>
          </w:r>
          <w:r>
            <w:rPr>
              <w:sz w:val="24"/>
              <w:szCs w:val="22"/>
            </w:rPr>
            <w:fldChar w:fldCharType="begin"/>
          </w:r>
          <w:r>
            <w:rPr>
              <w:sz w:val="24"/>
              <w:szCs w:val="22"/>
            </w:rPr>
            <w:instrText xml:space="preserve"> PAGEREF _Toc92457806 \h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"_Toc92457807" </w:instrText>
          </w:r>
          <w:r>
            <w:fldChar w:fldCharType="separate"/>
          </w:r>
          <w:r>
            <w:rPr>
              <w:rStyle w:val="16"/>
              <w:rFonts w:ascii="仿宋" w:hAnsi="仿宋" w:eastAsia="仿宋"/>
              <w:color w:val="auto"/>
              <w:w w:val="110"/>
              <w:sz w:val="24"/>
              <w:szCs w:val="22"/>
            </w:rPr>
            <w:t>1. 思想政治教育队伍建设</w:t>
          </w:r>
          <w:r>
            <w:rPr>
              <w:sz w:val="24"/>
              <w:szCs w:val="22"/>
            </w:rPr>
            <w:tab/>
          </w:r>
          <w:r>
            <w:rPr>
              <w:sz w:val="24"/>
              <w:szCs w:val="22"/>
            </w:rPr>
            <w:fldChar w:fldCharType="begin"/>
          </w:r>
          <w:r>
            <w:rPr>
              <w:sz w:val="24"/>
              <w:szCs w:val="22"/>
            </w:rPr>
            <w:instrText xml:space="preserve"> PAGEREF _Toc92457807 \h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"_Toc92457808" </w:instrText>
          </w:r>
          <w:r>
            <w:fldChar w:fldCharType="separate"/>
          </w:r>
          <w:r>
            <w:rPr>
              <w:rStyle w:val="16"/>
              <w:rFonts w:ascii="仿宋" w:hAnsi="仿宋" w:eastAsia="仿宋"/>
              <w:color w:val="auto"/>
              <w:w w:val="110"/>
              <w:sz w:val="24"/>
              <w:szCs w:val="22"/>
            </w:rPr>
            <w:t>2. 理想信念和社会主义核心价值观教育</w:t>
          </w:r>
          <w:r>
            <w:rPr>
              <w:sz w:val="24"/>
              <w:szCs w:val="22"/>
            </w:rPr>
            <w:tab/>
          </w:r>
          <w:r>
            <w:rPr>
              <w:sz w:val="24"/>
              <w:szCs w:val="22"/>
            </w:rPr>
            <w:fldChar w:fldCharType="begin"/>
          </w:r>
          <w:r>
            <w:rPr>
              <w:sz w:val="24"/>
              <w:szCs w:val="22"/>
            </w:rPr>
            <w:instrText xml:space="preserve"> PAGEREF _Toc92457808 \h </w:instrText>
          </w:r>
          <w:r>
            <w:rPr>
              <w:sz w:val="24"/>
              <w:szCs w:val="22"/>
            </w:rPr>
            <w:fldChar w:fldCharType="separate"/>
          </w:r>
          <w:r>
            <w:rPr>
              <w:sz w:val="24"/>
              <w:szCs w:val="22"/>
            </w:rPr>
            <w:t>8</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"_Toc92457809" </w:instrText>
          </w:r>
          <w:r>
            <w:fldChar w:fldCharType="separate"/>
          </w:r>
          <w:r>
            <w:rPr>
              <w:rStyle w:val="16"/>
              <w:rFonts w:ascii="仿宋" w:hAnsi="仿宋" w:eastAsia="仿宋"/>
              <w:color w:val="auto"/>
              <w:w w:val="110"/>
              <w:sz w:val="24"/>
              <w:szCs w:val="22"/>
            </w:rPr>
            <w:t>3.学位点</w:t>
          </w:r>
          <w:r>
            <w:rPr>
              <w:rStyle w:val="16"/>
              <w:rFonts w:ascii="仿宋" w:hAnsi="仿宋" w:eastAsia="仿宋"/>
              <w:color w:val="auto"/>
              <w:sz w:val="24"/>
              <w:szCs w:val="22"/>
            </w:rPr>
            <w:t>文化</w:t>
          </w:r>
          <w:r>
            <w:rPr>
              <w:rStyle w:val="16"/>
              <w:rFonts w:ascii="仿宋" w:hAnsi="仿宋" w:eastAsia="仿宋"/>
              <w:color w:val="auto"/>
              <w:w w:val="110"/>
              <w:sz w:val="24"/>
              <w:szCs w:val="22"/>
            </w:rPr>
            <w:t>建设情况</w:t>
          </w:r>
          <w:r>
            <w:rPr>
              <w:sz w:val="24"/>
              <w:szCs w:val="22"/>
            </w:rPr>
            <w:tab/>
          </w:r>
          <w:r>
            <w:rPr>
              <w:sz w:val="24"/>
              <w:szCs w:val="22"/>
            </w:rPr>
            <w:fldChar w:fldCharType="begin"/>
          </w:r>
          <w:r>
            <w:rPr>
              <w:sz w:val="24"/>
              <w:szCs w:val="22"/>
            </w:rPr>
            <w:instrText xml:space="preserve"> PAGEREF _Toc92457809 \h </w:instrText>
          </w:r>
          <w:r>
            <w:rPr>
              <w:sz w:val="24"/>
              <w:szCs w:val="22"/>
            </w:rPr>
            <w:fldChar w:fldCharType="separate"/>
          </w:r>
          <w:r>
            <w:rPr>
              <w:sz w:val="24"/>
              <w:szCs w:val="22"/>
            </w:rPr>
            <w:t>9</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"_Toc92457810" </w:instrText>
          </w:r>
          <w:r>
            <w:fldChar w:fldCharType="separate"/>
          </w:r>
          <w:r>
            <w:rPr>
              <w:rStyle w:val="16"/>
              <w:rFonts w:ascii="仿宋" w:hAnsi="仿宋" w:eastAsia="仿宋"/>
              <w:color w:val="auto"/>
              <w:w w:val="110"/>
              <w:sz w:val="24"/>
              <w:szCs w:val="22"/>
            </w:rPr>
            <w:t>4. 学位点日常管理、服务工作情况</w:t>
          </w:r>
          <w:r>
            <w:rPr>
              <w:sz w:val="24"/>
              <w:szCs w:val="22"/>
            </w:rPr>
            <w:tab/>
          </w:r>
          <w:r>
            <w:rPr>
              <w:sz w:val="24"/>
              <w:szCs w:val="22"/>
            </w:rPr>
            <w:fldChar w:fldCharType="begin"/>
          </w:r>
          <w:r>
            <w:rPr>
              <w:sz w:val="24"/>
              <w:szCs w:val="22"/>
            </w:rPr>
            <w:instrText xml:space="preserve"> PAGEREF _Toc92457810 \h </w:instrText>
          </w:r>
          <w:r>
            <w:rPr>
              <w:sz w:val="24"/>
              <w:szCs w:val="22"/>
            </w:rPr>
            <w:fldChar w:fldCharType="separate"/>
          </w:r>
          <w:r>
            <w:rPr>
              <w:sz w:val="24"/>
              <w:szCs w:val="22"/>
            </w:rPr>
            <w:t>10</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"_Toc92457811" </w:instrText>
          </w:r>
          <w:r>
            <w:fldChar w:fldCharType="separate"/>
          </w:r>
          <w:r>
            <w:rPr>
              <w:rStyle w:val="16"/>
              <w:rFonts w:ascii="黑体" w:hAnsi="黑体" w:eastAsia="黑体"/>
              <w:color w:val="auto"/>
              <w:sz w:val="24"/>
              <w:szCs w:val="22"/>
            </w:rPr>
            <w:t>三、研究生培养相关制度及执行情况</w:t>
          </w:r>
          <w:r>
            <w:rPr>
              <w:sz w:val="24"/>
              <w:szCs w:val="22"/>
            </w:rPr>
            <w:tab/>
          </w:r>
          <w:r>
            <w:rPr>
              <w:sz w:val="24"/>
              <w:szCs w:val="22"/>
            </w:rPr>
            <w:fldChar w:fldCharType="begin"/>
          </w:r>
          <w:r>
            <w:rPr>
              <w:sz w:val="24"/>
              <w:szCs w:val="22"/>
            </w:rPr>
            <w:instrText xml:space="preserve"> PAGEREF _Toc92457811 \h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"_Toc92457812" </w:instrText>
          </w:r>
          <w:r>
            <w:fldChar w:fldCharType="separate"/>
          </w:r>
          <w:r>
            <w:rPr>
              <w:rStyle w:val="16"/>
              <w:rFonts w:ascii="仿宋" w:hAnsi="仿宋" w:eastAsia="仿宋"/>
              <w:color w:val="auto"/>
              <w:w w:val="110"/>
              <w:sz w:val="24"/>
              <w:szCs w:val="22"/>
            </w:rPr>
            <w:t>1. 课程建设与实施情况</w:t>
          </w:r>
          <w:r>
            <w:rPr>
              <w:sz w:val="24"/>
              <w:szCs w:val="22"/>
            </w:rPr>
            <w:tab/>
          </w:r>
          <w:r>
            <w:rPr>
              <w:sz w:val="24"/>
              <w:szCs w:val="22"/>
            </w:rPr>
            <w:fldChar w:fldCharType="begin"/>
          </w:r>
          <w:r>
            <w:rPr>
              <w:sz w:val="24"/>
              <w:szCs w:val="22"/>
            </w:rPr>
            <w:instrText xml:space="preserve"> PAGEREF _Toc92457812 \h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"_Toc92457813" </w:instrText>
          </w:r>
          <w:r>
            <w:fldChar w:fldCharType="separate"/>
          </w:r>
          <w:r>
            <w:rPr>
              <w:rStyle w:val="16"/>
              <w:rFonts w:ascii="仿宋" w:hAnsi="仿宋" w:eastAsia="仿宋"/>
              <w:color w:val="auto"/>
              <w:w w:val="110"/>
              <w:sz w:val="24"/>
              <w:szCs w:val="22"/>
            </w:rPr>
            <w:t>2. 导师</w:t>
          </w:r>
          <w:r>
            <w:rPr>
              <w:rStyle w:val="16"/>
              <w:rFonts w:ascii="仿宋" w:hAnsi="仿宋" w:eastAsia="仿宋"/>
              <w:color w:val="auto"/>
              <w:sz w:val="24"/>
              <w:szCs w:val="22"/>
            </w:rPr>
            <w:t>选拔</w:t>
          </w:r>
          <w:r>
            <w:rPr>
              <w:rStyle w:val="16"/>
              <w:rFonts w:ascii="仿宋" w:hAnsi="仿宋" w:eastAsia="仿宋"/>
              <w:color w:val="auto"/>
              <w:w w:val="110"/>
              <w:sz w:val="24"/>
              <w:szCs w:val="22"/>
            </w:rPr>
            <w:t>与培训情况</w:t>
          </w:r>
          <w:r>
            <w:rPr>
              <w:sz w:val="24"/>
              <w:szCs w:val="22"/>
            </w:rPr>
            <w:tab/>
          </w:r>
          <w:r>
            <w:rPr>
              <w:sz w:val="24"/>
              <w:szCs w:val="22"/>
            </w:rPr>
            <w:fldChar w:fldCharType="begin"/>
          </w:r>
          <w:r>
            <w:rPr>
              <w:sz w:val="24"/>
              <w:szCs w:val="22"/>
            </w:rPr>
            <w:instrText xml:space="preserve"> PAGEREF _Toc92457813 \h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"_Toc92457814" </w:instrText>
          </w:r>
          <w:r>
            <w:fldChar w:fldCharType="separate"/>
          </w:r>
          <w:r>
            <w:rPr>
              <w:rStyle w:val="16"/>
              <w:rFonts w:ascii="仿宋" w:hAnsi="仿宋" w:eastAsia="仿宋"/>
              <w:color w:val="auto"/>
              <w:w w:val="110"/>
              <w:sz w:val="24"/>
              <w:szCs w:val="22"/>
            </w:rPr>
            <w:t>3. 师德师风</w:t>
          </w:r>
          <w:r>
            <w:rPr>
              <w:rStyle w:val="16"/>
              <w:rFonts w:ascii="仿宋" w:hAnsi="仿宋" w:eastAsia="仿宋"/>
              <w:color w:val="auto"/>
              <w:sz w:val="24"/>
              <w:szCs w:val="22"/>
            </w:rPr>
            <w:t>建设</w:t>
          </w:r>
          <w:r>
            <w:rPr>
              <w:rStyle w:val="16"/>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_Toc92457814 \h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"_Toc92457815" </w:instrText>
          </w:r>
          <w:r>
            <w:fldChar w:fldCharType="separate"/>
          </w:r>
          <w:r>
            <w:rPr>
              <w:rStyle w:val="16"/>
              <w:rFonts w:ascii="仿宋" w:hAnsi="仿宋" w:eastAsia="仿宋"/>
              <w:color w:val="auto"/>
              <w:w w:val="110"/>
              <w:sz w:val="24"/>
              <w:szCs w:val="22"/>
            </w:rPr>
            <w:t xml:space="preserve">4. </w:t>
          </w:r>
          <w:r>
            <w:rPr>
              <w:rStyle w:val="16"/>
              <w:rFonts w:ascii="仿宋" w:hAnsi="仿宋" w:eastAsia="仿宋"/>
              <w:color w:val="auto"/>
              <w:sz w:val="24"/>
              <w:szCs w:val="22"/>
            </w:rPr>
            <w:t>学术</w:t>
          </w:r>
          <w:r>
            <w:rPr>
              <w:rStyle w:val="16"/>
              <w:rFonts w:ascii="仿宋" w:hAnsi="仿宋" w:eastAsia="仿宋"/>
              <w:color w:val="auto"/>
              <w:w w:val="110"/>
              <w:sz w:val="24"/>
              <w:szCs w:val="22"/>
            </w:rPr>
            <w:t>训练情况</w:t>
          </w:r>
          <w:r>
            <w:rPr>
              <w:sz w:val="24"/>
              <w:szCs w:val="22"/>
            </w:rPr>
            <w:tab/>
          </w:r>
          <w:r>
            <w:rPr>
              <w:sz w:val="24"/>
              <w:szCs w:val="22"/>
            </w:rPr>
            <w:fldChar w:fldCharType="begin"/>
          </w:r>
          <w:r>
            <w:rPr>
              <w:sz w:val="24"/>
              <w:szCs w:val="22"/>
            </w:rPr>
            <w:instrText xml:space="preserve"> PAGEREF _Toc92457815 \h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"_Toc92457816" </w:instrText>
          </w:r>
          <w:r>
            <w:fldChar w:fldCharType="separate"/>
          </w:r>
          <w:r>
            <w:rPr>
              <w:rStyle w:val="16"/>
              <w:rFonts w:ascii="仿宋" w:hAnsi="仿宋" w:eastAsia="仿宋"/>
              <w:color w:val="auto"/>
              <w:w w:val="110"/>
              <w:sz w:val="24"/>
              <w:szCs w:val="22"/>
            </w:rPr>
            <w:t>5. 学术</w:t>
          </w:r>
          <w:r>
            <w:rPr>
              <w:rStyle w:val="16"/>
              <w:rFonts w:ascii="仿宋" w:hAnsi="仿宋" w:eastAsia="仿宋"/>
              <w:color w:val="auto"/>
              <w:sz w:val="24"/>
              <w:szCs w:val="22"/>
            </w:rPr>
            <w:t>交流</w:t>
          </w:r>
          <w:r>
            <w:rPr>
              <w:rStyle w:val="16"/>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_Toc92457816 \h </w:instrText>
          </w:r>
          <w:r>
            <w:rPr>
              <w:sz w:val="24"/>
              <w:szCs w:val="22"/>
            </w:rPr>
            <w:fldChar w:fldCharType="separate"/>
          </w:r>
          <w:r>
            <w:rPr>
              <w:sz w:val="24"/>
              <w:szCs w:val="22"/>
            </w:rPr>
            <w:t>15</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"_Toc92457817" </w:instrText>
          </w:r>
          <w:r>
            <w:fldChar w:fldCharType="separate"/>
          </w:r>
          <w:r>
            <w:rPr>
              <w:rStyle w:val="16"/>
              <w:rFonts w:ascii="仿宋" w:hAnsi="仿宋" w:eastAsia="仿宋"/>
              <w:color w:val="auto"/>
              <w:w w:val="110"/>
              <w:sz w:val="24"/>
              <w:szCs w:val="22"/>
            </w:rPr>
            <w:t>6. 研究生奖助情况</w:t>
          </w:r>
          <w:r>
            <w:rPr>
              <w:sz w:val="24"/>
              <w:szCs w:val="22"/>
            </w:rPr>
            <w:tab/>
          </w:r>
          <w:r>
            <w:rPr>
              <w:sz w:val="24"/>
              <w:szCs w:val="22"/>
            </w:rPr>
            <w:fldChar w:fldCharType="begin"/>
          </w:r>
          <w:r>
            <w:rPr>
              <w:sz w:val="24"/>
              <w:szCs w:val="22"/>
            </w:rPr>
            <w:instrText xml:space="preserve"> PAGEREF _Toc92457817 \h </w:instrText>
          </w:r>
          <w:r>
            <w:rPr>
              <w:sz w:val="24"/>
              <w:szCs w:val="22"/>
            </w:rPr>
            <w:fldChar w:fldCharType="separate"/>
          </w:r>
          <w:r>
            <w:rPr>
              <w:sz w:val="24"/>
              <w:szCs w:val="22"/>
            </w:rPr>
            <w:t>16</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"_Toc92457818" </w:instrText>
          </w:r>
          <w:r>
            <w:fldChar w:fldCharType="separate"/>
          </w:r>
          <w:r>
            <w:rPr>
              <w:rStyle w:val="16"/>
              <w:rFonts w:ascii="黑体" w:hAnsi="黑体" w:eastAsia="黑体"/>
              <w:color w:val="auto"/>
              <w:sz w:val="24"/>
              <w:szCs w:val="22"/>
            </w:rPr>
            <w:t>四、研究生教育改革情况</w:t>
          </w:r>
          <w:r>
            <w:rPr>
              <w:sz w:val="24"/>
              <w:szCs w:val="22"/>
            </w:rPr>
            <w:tab/>
          </w:r>
          <w:r>
            <w:rPr>
              <w:sz w:val="24"/>
              <w:szCs w:val="22"/>
            </w:rPr>
            <w:fldChar w:fldCharType="begin"/>
          </w:r>
          <w:r>
            <w:rPr>
              <w:sz w:val="24"/>
              <w:szCs w:val="22"/>
            </w:rPr>
            <w:instrText xml:space="preserve"> PAGEREF _Toc92457818 \h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"_Toc92457819" </w:instrText>
          </w:r>
          <w:r>
            <w:fldChar w:fldCharType="separate"/>
          </w:r>
          <w:r>
            <w:rPr>
              <w:rStyle w:val="16"/>
              <w:rFonts w:ascii="仿宋" w:hAnsi="仿宋" w:eastAsia="仿宋"/>
              <w:color w:val="auto"/>
              <w:w w:val="110"/>
              <w:sz w:val="24"/>
              <w:szCs w:val="22"/>
            </w:rPr>
            <w:t>1. 人才</w:t>
          </w:r>
          <w:r>
            <w:rPr>
              <w:rStyle w:val="16"/>
              <w:rFonts w:ascii="仿宋" w:hAnsi="仿宋" w:eastAsia="仿宋"/>
              <w:color w:val="auto"/>
              <w:sz w:val="24"/>
              <w:szCs w:val="22"/>
            </w:rPr>
            <w:t>培养</w:t>
          </w:r>
          <w:r>
            <w:rPr>
              <w:rStyle w:val="16"/>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_Toc92457819 \h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"_Toc92457820" </w:instrText>
          </w:r>
          <w:r>
            <w:fldChar w:fldCharType="separate"/>
          </w:r>
          <w:r>
            <w:rPr>
              <w:rStyle w:val="16"/>
              <w:rFonts w:ascii="仿宋" w:hAnsi="仿宋" w:eastAsia="仿宋"/>
              <w:color w:val="auto"/>
              <w:w w:val="110"/>
              <w:sz w:val="24"/>
              <w:szCs w:val="22"/>
            </w:rPr>
            <w:t>2. 教师队伍</w:t>
          </w:r>
          <w:r>
            <w:rPr>
              <w:rStyle w:val="16"/>
              <w:rFonts w:ascii="仿宋" w:hAnsi="仿宋" w:eastAsia="仿宋"/>
              <w:color w:val="auto"/>
              <w:sz w:val="24"/>
              <w:szCs w:val="22"/>
            </w:rPr>
            <w:t>建设</w:t>
          </w:r>
          <w:r>
            <w:rPr>
              <w:rStyle w:val="16"/>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_Toc92457820 \h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"_Toc92457821" </w:instrText>
          </w:r>
          <w:r>
            <w:fldChar w:fldCharType="separate"/>
          </w:r>
          <w:r>
            <w:rPr>
              <w:rStyle w:val="16"/>
              <w:rFonts w:ascii="仿宋" w:hAnsi="仿宋" w:eastAsia="仿宋"/>
              <w:color w:val="auto"/>
              <w:w w:val="110"/>
              <w:sz w:val="24"/>
              <w:szCs w:val="22"/>
            </w:rPr>
            <w:t xml:space="preserve">3. </w:t>
          </w:r>
          <w:r>
            <w:rPr>
              <w:rStyle w:val="16"/>
              <w:rFonts w:ascii="仿宋" w:hAnsi="仿宋" w:eastAsia="仿宋"/>
              <w:color w:val="auto"/>
              <w:sz w:val="24"/>
              <w:szCs w:val="22"/>
            </w:rPr>
            <w:t>科学研究</w:t>
          </w:r>
          <w:r>
            <w:rPr>
              <w:rStyle w:val="16"/>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_Toc92457821 \h </w:instrText>
          </w:r>
          <w:r>
            <w:rPr>
              <w:sz w:val="24"/>
              <w:szCs w:val="22"/>
            </w:rPr>
            <w:fldChar w:fldCharType="separate"/>
          </w:r>
          <w:r>
            <w:rPr>
              <w:sz w:val="24"/>
              <w:szCs w:val="22"/>
            </w:rPr>
            <w:t>18</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"_Toc92457822" </w:instrText>
          </w:r>
          <w:r>
            <w:fldChar w:fldCharType="separate"/>
          </w:r>
          <w:r>
            <w:rPr>
              <w:rStyle w:val="16"/>
              <w:rFonts w:ascii="仿宋" w:hAnsi="仿宋" w:eastAsia="仿宋"/>
              <w:color w:val="auto"/>
              <w:w w:val="110"/>
              <w:sz w:val="24"/>
              <w:szCs w:val="22"/>
            </w:rPr>
            <w:t>4. 传承创新优秀学科文化情况</w:t>
          </w:r>
          <w:r>
            <w:rPr>
              <w:sz w:val="24"/>
              <w:szCs w:val="22"/>
            </w:rPr>
            <w:tab/>
          </w:r>
          <w:r>
            <w:rPr>
              <w:sz w:val="24"/>
              <w:szCs w:val="22"/>
            </w:rPr>
            <w:fldChar w:fldCharType="begin"/>
          </w:r>
          <w:r>
            <w:rPr>
              <w:sz w:val="24"/>
              <w:szCs w:val="22"/>
            </w:rPr>
            <w:instrText xml:space="preserve"> PAGEREF _Toc92457822 \h </w:instrText>
          </w:r>
          <w:r>
            <w:rPr>
              <w:sz w:val="24"/>
              <w:szCs w:val="22"/>
            </w:rPr>
            <w:fldChar w:fldCharType="separate"/>
          </w:r>
          <w:r>
            <w:rPr>
              <w:sz w:val="24"/>
              <w:szCs w:val="22"/>
            </w:rPr>
            <w:t>19</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"_Toc92457823" </w:instrText>
          </w:r>
          <w:r>
            <w:fldChar w:fldCharType="separate"/>
          </w:r>
          <w:r>
            <w:rPr>
              <w:rStyle w:val="16"/>
              <w:rFonts w:ascii="仿宋" w:hAnsi="仿宋" w:eastAsia="仿宋"/>
              <w:color w:val="auto"/>
              <w:w w:val="110"/>
              <w:sz w:val="24"/>
              <w:szCs w:val="22"/>
            </w:rPr>
            <w:t>5.国际交流合作等的改革创新情况</w:t>
          </w:r>
          <w:r>
            <w:rPr>
              <w:sz w:val="24"/>
              <w:szCs w:val="22"/>
            </w:rPr>
            <w:tab/>
          </w:r>
          <w:r>
            <w:rPr>
              <w:sz w:val="24"/>
              <w:szCs w:val="22"/>
            </w:rPr>
            <w:fldChar w:fldCharType="begin"/>
          </w:r>
          <w:r>
            <w:rPr>
              <w:sz w:val="24"/>
              <w:szCs w:val="22"/>
            </w:rPr>
            <w:instrText xml:space="preserve"> PAGEREF _Toc92457823 \h </w:instrText>
          </w:r>
          <w:r>
            <w:rPr>
              <w:sz w:val="24"/>
              <w:szCs w:val="22"/>
            </w:rPr>
            <w:fldChar w:fldCharType="separate"/>
          </w:r>
          <w:r>
            <w:rPr>
              <w:sz w:val="24"/>
              <w:szCs w:val="22"/>
            </w:rPr>
            <w:t>19</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"_Toc92457824" </w:instrText>
          </w:r>
          <w:r>
            <w:fldChar w:fldCharType="separate"/>
          </w:r>
          <w:r>
            <w:rPr>
              <w:rStyle w:val="16"/>
              <w:rFonts w:ascii="黑体" w:hAnsi="黑体" w:eastAsia="黑体"/>
              <w:color w:val="auto"/>
              <w:sz w:val="24"/>
              <w:szCs w:val="22"/>
            </w:rPr>
            <w:t>五、教育质量评估与分析</w:t>
          </w:r>
          <w:r>
            <w:rPr>
              <w:sz w:val="24"/>
              <w:szCs w:val="22"/>
            </w:rPr>
            <w:tab/>
          </w:r>
          <w:r>
            <w:rPr>
              <w:sz w:val="24"/>
              <w:szCs w:val="22"/>
            </w:rPr>
            <w:fldChar w:fldCharType="begin"/>
          </w:r>
          <w:r>
            <w:rPr>
              <w:sz w:val="24"/>
              <w:szCs w:val="22"/>
            </w:rPr>
            <w:instrText xml:space="preserve"> PAGEREF _Toc92457824 \h </w:instrText>
          </w:r>
          <w:r>
            <w:rPr>
              <w:sz w:val="24"/>
              <w:szCs w:val="22"/>
            </w:rPr>
            <w:fldChar w:fldCharType="separate"/>
          </w:r>
          <w:r>
            <w:rPr>
              <w:sz w:val="24"/>
              <w:szCs w:val="22"/>
            </w:rPr>
            <w:t>20</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"_Toc92457825" </w:instrText>
          </w:r>
          <w:r>
            <w:fldChar w:fldCharType="separate"/>
          </w:r>
          <w:r>
            <w:rPr>
              <w:rStyle w:val="16"/>
              <w:rFonts w:ascii="仿宋" w:hAnsi="仿宋" w:eastAsia="仿宋"/>
              <w:color w:val="auto"/>
              <w:w w:val="110"/>
              <w:sz w:val="24"/>
              <w:szCs w:val="22"/>
            </w:rPr>
            <w:t>1.学位授权点自我评估进展及问题分析</w:t>
          </w:r>
          <w:r>
            <w:rPr>
              <w:sz w:val="24"/>
              <w:szCs w:val="22"/>
            </w:rPr>
            <w:tab/>
          </w:r>
          <w:r>
            <w:rPr>
              <w:sz w:val="24"/>
              <w:szCs w:val="22"/>
            </w:rPr>
            <w:fldChar w:fldCharType="begin"/>
          </w:r>
          <w:r>
            <w:rPr>
              <w:sz w:val="24"/>
              <w:szCs w:val="22"/>
            </w:rPr>
            <w:instrText xml:space="preserve"> PAGEREF _Toc92457825 \h </w:instrText>
          </w:r>
          <w:r>
            <w:rPr>
              <w:sz w:val="24"/>
              <w:szCs w:val="22"/>
            </w:rPr>
            <w:fldChar w:fldCharType="separate"/>
          </w:r>
          <w:r>
            <w:rPr>
              <w:sz w:val="24"/>
              <w:szCs w:val="22"/>
            </w:rPr>
            <w:t>20</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"_Toc92457826" </w:instrText>
          </w:r>
          <w:r>
            <w:fldChar w:fldCharType="separate"/>
          </w:r>
          <w:r>
            <w:rPr>
              <w:rStyle w:val="16"/>
              <w:rFonts w:ascii="仿宋" w:hAnsi="仿宋" w:eastAsia="仿宋"/>
              <w:color w:val="auto"/>
              <w:w w:val="110"/>
              <w:sz w:val="24"/>
              <w:szCs w:val="22"/>
            </w:rPr>
            <w:t>2.学位论文抽检情况及问题分析</w:t>
          </w:r>
          <w:r>
            <w:rPr>
              <w:sz w:val="24"/>
              <w:szCs w:val="22"/>
            </w:rPr>
            <w:tab/>
          </w:r>
          <w:r>
            <w:rPr>
              <w:sz w:val="24"/>
              <w:szCs w:val="22"/>
            </w:rPr>
            <w:fldChar w:fldCharType="begin"/>
          </w:r>
          <w:r>
            <w:rPr>
              <w:sz w:val="24"/>
              <w:szCs w:val="22"/>
            </w:rPr>
            <w:instrText xml:space="preserve"> PAGEREF _Toc92457826 \h </w:instrText>
          </w:r>
          <w:r>
            <w:rPr>
              <w:sz w:val="24"/>
              <w:szCs w:val="22"/>
            </w:rPr>
            <w:fldChar w:fldCharType="separate"/>
          </w:r>
          <w:r>
            <w:rPr>
              <w:sz w:val="24"/>
              <w:szCs w:val="22"/>
            </w:rPr>
            <w:t>20</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"_Toc92457827" </w:instrText>
          </w:r>
          <w:r>
            <w:fldChar w:fldCharType="separate"/>
          </w:r>
          <w:r>
            <w:rPr>
              <w:rStyle w:val="16"/>
              <w:rFonts w:ascii="黑体" w:hAnsi="黑体" w:eastAsia="黑体"/>
              <w:color w:val="auto"/>
              <w:sz w:val="24"/>
              <w:szCs w:val="22"/>
            </w:rPr>
            <w:t>六、改进措施</w:t>
          </w:r>
          <w:r>
            <w:rPr>
              <w:sz w:val="24"/>
              <w:szCs w:val="22"/>
            </w:rPr>
            <w:tab/>
          </w:r>
          <w:r>
            <w:rPr>
              <w:sz w:val="24"/>
              <w:szCs w:val="22"/>
            </w:rPr>
            <w:fldChar w:fldCharType="begin"/>
          </w:r>
          <w:r>
            <w:rPr>
              <w:sz w:val="24"/>
              <w:szCs w:val="22"/>
            </w:rPr>
            <w:instrText xml:space="preserve"> PAGEREF _Toc92457827 \h </w:instrText>
          </w:r>
          <w:r>
            <w:rPr>
              <w:sz w:val="24"/>
              <w:szCs w:val="22"/>
            </w:rPr>
            <w:fldChar w:fldCharType="separate"/>
          </w:r>
          <w:r>
            <w:rPr>
              <w:sz w:val="24"/>
              <w:szCs w:val="22"/>
            </w:rPr>
            <w:t>21</w:t>
          </w:r>
          <w:r>
            <w:rPr>
              <w:sz w:val="24"/>
              <w:szCs w:val="22"/>
            </w:rPr>
            <w:fldChar w:fldCharType="end"/>
          </w:r>
          <w:r>
            <w:rPr>
              <w:sz w:val="24"/>
              <w:szCs w:val="22"/>
            </w:rPr>
            <w:fldChar w:fldCharType="end"/>
          </w:r>
        </w:p>
        <w:p>
          <w:r>
            <w:rPr>
              <w:b/>
              <w:bCs/>
              <w:lang w:val="zh-CN"/>
            </w:rPr>
            <w:fldChar w:fldCharType="end"/>
          </w:r>
        </w:p>
      </w:sdtContent>
    </w:sdt>
    <w:p>
      <w:pPr>
        <w:pStyle w:val="2"/>
      </w:pPr>
    </w:p>
    <w:p>
      <w:pPr>
        <w:spacing w:before="624" w:beforeLines="200" w:after="312" w:afterLines="100"/>
        <w:jc w:val="both"/>
        <w:rPr>
          <w:rFonts w:ascii="黑体" w:hAnsi="黑体" w:eastAsia="黑体" w:cs="黑体"/>
          <w:bCs/>
          <w:sz w:val="44"/>
          <w:szCs w:val="44"/>
        </w:rPr>
      </w:pPr>
      <w:r>
        <w:rPr>
          <w:rFonts w:ascii="黑体" w:hAnsi="黑体" w:eastAsia="黑体" w:cs="黑体"/>
          <w:bCs/>
          <w:sz w:val="44"/>
          <w:szCs w:val="44"/>
        </w:rPr>
        <w:t xml:space="preserve"> </w:t>
      </w:r>
    </w:p>
    <w:p>
      <w:pPr>
        <w:pStyle w:val="5"/>
        <w:snapToGrid w:val="0"/>
        <w:spacing w:before="0" w:after="0" w:line="360" w:lineRule="auto"/>
        <w:rPr>
          <w:rFonts w:ascii="黑体" w:hAnsi="黑体" w:eastAsia="黑体"/>
          <w:b w:val="0"/>
          <w:bCs w:val="0"/>
        </w:rPr>
      </w:pPr>
      <w:bookmarkStart w:id="1" w:name="_Toc92457801"/>
      <w:r>
        <w:rPr>
          <w:rFonts w:hint="eastAsia" w:ascii="黑体" w:hAnsi="黑体" w:eastAsia="黑体"/>
          <w:b w:val="0"/>
          <w:bCs w:val="0"/>
        </w:rPr>
        <w:t>一、总体概况</w:t>
      </w:r>
      <w:bookmarkEnd w:id="1"/>
    </w:p>
    <w:p>
      <w:pPr>
        <w:pStyle w:val="6"/>
        <w:snapToGrid w:val="0"/>
        <w:spacing w:before="0" w:after="0" w:line="360" w:lineRule="auto"/>
        <w:ind w:firstLine="562" w:firstLineChars="200"/>
        <w:rPr>
          <w:rFonts w:ascii="仿宋" w:hAnsi="仿宋" w:eastAsia="仿宋"/>
          <w:sz w:val="28"/>
          <w:szCs w:val="28"/>
        </w:rPr>
      </w:pPr>
      <w:bookmarkStart w:id="2" w:name="_Toc92457802"/>
      <w:r>
        <w:rPr>
          <w:rFonts w:hint="eastAsia" w:ascii="仿宋" w:hAnsi="仿宋" w:eastAsia="仿宋"/>
          <w:sz w:val="28"/>
          <w:szCs w:val="28"/>
        </w:rPr>
        <w:t>1.学位授权点基本情况</w:t>
      </w:r>
      <w:bookmarkEnd w:id="2"/>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学位点相关课程教学始于1958年，1986年建经济管理系，2004年招收首届硕士研究生，2006年被评为湖南省省级重点学科，同年，获批产业经济学二级学科硕士学位授权点，2010年获批应用经济学一级学科硕士学位授权点。2013年参与国家特殊需求人才博士项目“生态扶贫”博士人才培养。现依托“武陵山片区扶贫与发展”湖南省普通高校2011协同创新中心、“应用经济学”湖南省重点学科、院士工作站、“村镇银行发展与治理创新</w:t>
      </w:r>
      <w:r>
        <w:rPr>
          <w:rFonts w:ascii="仿宋" w:hAnsi="仿宋" w:eastAsia="仿宋"/>
          <w:spacing w:val="-7"/>
          <w:w w:val="110"/>
          <w:sz w:val="28"/>
          <w:szCs w:val="28"/>
        </w:rPr>
        <w:t>”</w:t>
      </w:r>
      <w:r>
        <w:rPr>
          <w:rFonts w:hint="eastAsia" w:ascii="仿宋" w:hAnsi="仿宋" w:eastAsia="仿宋"/>
          <w:spacing w:val="-7"/>
          <w:w w:val="110"/>
          <w:sz w:val="28"/>
          <w:szCs w:val="28"/>
        </w:rPr>
        <w:t>湖南省研究生培养创新基地等11个省级重点平台进行学科发展与学生培养，具有较深厚的学科建设基础与较丰富的研究生培养管理经验。现形成了区域经济学、产业经济学、金融学、经济统计学4个主干学科方向和旅游经济学1个特色方向，其中，产业经济学研究方向中关于民族地区旅游产业的研究在国内形成了较大影响；区域经济学研究方向中关于民族地区省区交界地域经济协同发展的研究填补了国内空白。</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学位点立足于服务西部地区、民族地区经济社会发展，已建成区域经济学、产业经济学、旅游经济、金融学四个学科方向，是武陵山片区学科实力最强、影响最大的应用经济学科，也是湖南省重点学科和一流建设学科，教育部国家特殊需求博士项目主建学科，在区域减贫与发展、省际边界区域协同发展和旅游产业发展研究方面特色鲜明，知名度高，学位点依托的经济学本科专业为湖南省一流本科专业建设点。学位点致力于培养具备经世济民情怀和务实作风，敢担当、愿吃苦、勤调研、能创新、善作为，且熟悉连片欠发达地区经济社会发展实际的经济管理人才，具有较深厚的学科建设基础和丰富的研究生培养管理经验。</w:t>
      </w:r>
    </w:p>
    <w:p>
      <w:pPr>
        <w:pStyle w:val="6"/>
        <w:snapToGrid w:val="0"/>
        <w:spacing w:before="0" w:after="0" w:line="360" w:lineRule="auto"/>
        <w:ind w:firstLine="562" w:firstLineChars="200"/>
        <w:rPr>
          <w:rFonts w:ascii="仿宋" w:hAnsi="仿宋" w:eastAsia="仿宋"/>
          <w:sz w:val="28"/>
          <w:szCs w:val="28"/>
        </w:rPr>
      </w:pPr>
      <w:bookmarkStart w:id="3" w:name="_Toc92457803"/>
      <w:r>
        <w:rPr>
          <w:rFonts w:hint="eastAsia" w:ascii="仿宋" w:hAnsi="仿宋" w:eastAsia="仿宋"/>
          <w:sz w:val="28"/>
          <w:szCs w:val="28"/>
        </w:rPr>
        <w:t>2.学位授权点建设情况</w:t>
      </w:r>
      <w:bookmarkEnd w:id="3"/>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学位点全面落实立德树人根本任务，育人为本，德育为先，致力于培养掌握扎实的应用经济学基础理论、现代前沿研究方法和工具，具有国际视野、人文素养、经济思维、理论和实践创新能力，能够理论联系实际，开展规范实证研究，提出解决实际问题方案的高水平经济类人才。主要有四个研究方向</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（1）区域经济学。该</w:t>
      </w:r>
      <w:r>
        <w:rPr>
          <w:rFonts w:ascii="仿宋" w:hAnsi="仿宋" w:eastAsia="仿宋"/>
          <w:spacing w:val="-7"/>
          <w:w w:val="110"/>
          <w:sz w:val="28"/>
          <w:szCs w:val="28"/>
        </w:rPr>
        <w:t>方向</w:t>
      </w:r>
      <w:r>
        <w:rPr>
          <w:rFonts w:hint="eastAsia" w:ascii="仿宋" w:hAnsi="仿宋" w:eastAsia="仿宋"/>
          <w:spacing w:val="-7"/>
          <w:w w:val="110"/>
          <w:sz w:val="28"/>
          <w:szCs w:val="28"/>
        </w:rPr>
        <w:t>围绕区域经济领域的相关问题展开研究，主要涉及区域经济理论前沿、区域发展战略与政策、区际经济竞合与协同发展、区域经济空间结构演变等，并结合西部地区、民族地区实际研究区域可持续发展、绿色发展以及特殊类型区域发展等专题问题。</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产业经济学。该方向围绕产业经济领域的相关问题展开研究，主要涉及产业经济理论前沿、产业发展战略与政策，以及产业集群、产业融合、产业结构、新兴产业、数字产业等专题问题，并重点关注西部地区、民族地区的文旅产业、农林产业等特色产业发展问题。</w:t>
      </w:r>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w:t>
      </w:r>
      <w:r>
        <w:rPr>
          <w:rFonts w:ascii="仿宋" w:hAnsi="仿宋" w:eastAsia="仿宋"/>
          <w:spacing w:val="-7"/>
          <w:w w:val="110"/>
          <w:sz w:val="28"/>
          <w:szCs w:val="28"/>
        </w:rPr>
        <w:t>金融学</w:t>
      </w:r>
      <w:r>
        <w:rPr>
          <w:rFonts w:hint="eastAsia" w:ascii="仿宋" w:hAnsi="仿宋" w:eastAsia="仿宋"/>
          <w:spacing w:val="-7"/>
          <w:w w:val="110"/>
          <w:sz w:val="28"/>
          <w:szCs w:val="28"/>
        </w:rPr>
        <w:t>。该</w:t>
      </w:r>
      <w:r>
        <w:rPr>
          <w:rFonts w:ascii="仿宋" w:hAnsi="仿宋" w:eastAsia="仿宋"/>
          <w:spacing w:val="-7"/>
          <w:w w:val="110"/>
          <w:sz w:val="28"/>
          <w:szCs w:val="28"/>
        </w:rPr>
        <w:t>方向</w:t>
      </w:r>
      <w:r>
        <w:rPr>
          <w:rFonts w:hint="eastAsia" w:ascii="仿宋" w:hAnsi="仿宋" w:eastAsia="仿宋"/>
          <w:spacing w:val="-7"/>
          <w:w w:val="110"/>
          <w:sz w:val="28"/>
          <w:szCs w:val="28"/>
        </w:rPr>
        <w:t>围绕金融领域中的相关问题展开研究，主要涉及金融学理论前沿以及区域金融发展、金融风险管理</w:t>
      </w:r>
      <w:r>
        <w:rPr>
          <w:rFonts w:ascii="仿宋" w:hAnsi="仿宋" w:eastAsia="仿宋"/>
          <w:spacing w:val="-7"/>
          <w:w w:val="110"/>
          <w:sz w:val="28"/>
          <w:szCs w:val="28"/>
        </w:rPr>
        <w:t>、保险</w:t>
      </w:r>
      <w:r>
        <w:rPr>
          <w:rFonts w:hint="eastAsia" w:ascii="仿宋" w:hAnsi="仿宋" w:eastAsia="仿宋"/>
          <w:spacing w:val="-7"/>
          <w:w w:val="110"/>
          <w:sz w:val="28"/>
          <w:szCs w:val="28"/>
        </w:rPr>
        <w:t>行业发展、</w:t>
      </w:r>
      <w:r>
        <w:rPr>
          <w:rFonts w:ascii="仿宋" w:hAnsi="仿宋" w:eastAsia="仿宋"/>
          <w:spacing w:val="-7"/>
          <w:w w:val="110"/>
          <w:sz w:val="28"/>
          <w:szCs w:val="28"/>
        </w:rPr>
        <w:t>资本市场运行</w:t>
      </w:r>
      <w:r>
        <w:rPr>
          <w:rFonts w:hint="eastAsia" w:ascii="仿宋" w:hAnsi="仿宋" w:eastAsia="仿宋"/>
          <w:spacing w:val="-7"/>
          <w:w w:val="110"/>
          <w:sz w:val="28"/>
          <w:szCs w:val="28"/>
        </w:rPr>
        <w:t>等，结合西部地区、民族地区金融发展实际研究普惠金融、农村金融、农业保险</w:t>
      </w:r>
      <w:r>
        <w:rPr>
          <w:rFonts w:ascii="仿宋" w:hAnsi="仿宋" w:eastAsia="仿宋"/>
          <w:spacing w:val="-7"/>
          <w:w w:val="110"/>
          <w:sz w:val="28"/>
          <w:szCs w:val="28"/>
        </w:rPr>
        <w:t>等</w:t>
      </w:r>
      <w:r>
        <w:rPr>
          <w:rFonts w:hint="eastAsia" w:ascii="仿宋" w:hAnsi="仿宋" w:eastAsia="仿宋"/>
          <w:spacing w:val="-7"/>
          <w:w w:val="110"/>
          <w:sz w:val="28"/>
          <w:szCs w:val="28"/>
        </w:rPr>
        <w:t>专题问题</w:t>
      </w:r>
      <w:r>
        <w:rPr>
          <w:rFonts w:ascii="仿宋" w:hAnsi="仿宋" w:eastAsia="仿宋"/>
          <w:spacing w:val="-7"/>
          <w:w w:val="110"/>
          <w:sz w:val="28"/>
          <w:szCs w:val="28"/>
        </w:rPr>
        <w:t>。</w:t>
      </w:r>
    </w:p>
    <w:p>
      <w:pPr>
        <w:pStyle w:val="7"/>
        <w:tabs>
          <w:tab w:val="left" w:pos="8280"/>
        </w:tabs>
        <w:snapToGrid w:val="0"/>
        <w:spacing w:after="0" w:line="360" w:lineRule="auto"/>
        <w:ind w:right="26" w:firstLine="588" w:firstLineChars="200"/>
        <w:rPr>
          <w:rFonts w:ascii="仿宋" w:hAnsi="仿宋" w:eastAsia="仿宋"/>
          <w:sz w:val="24"/>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国民经济学。该方向围绕国民经济领域中的相关问题展开研究，主要涉及国民经济理论前沿、宏观经济政策、国际经济形势、经济可持续发展、数字经济发展等问题，并结合西部地区、民族地区国民经济发展需要开展社会保障、“三农”问题、乡村振兴等专题研究。</w:t>
      </w:r>
    </w:p>
    <w:p>
      <w:pPr>
        <w:pStyle w:val="2"/>
        <w:snapToGrid w:val="0"/>
        <w:spacing w:after="0" w:line="360" w:lineRule="auto"/>
        <w:ind w:left="0" w:leftChars="0" w:firstLine="588" w:firstLineChars="200"/>
        <w:jc w:val="left"/>
        <w:rPr>
          <w:rFonts w:ascii="仿宋" w:hAnsi="仿宋" w:eastAsia="仿宋"/>
          <w:color w:val="auto"/>
          <w:spacing w:val="-7"/>
          <w:w w:val="110"/>
          <w:sz w:val="28"/>
          <w:szCs w:val="28"/>
        </w:rPr>
      </w:pPr>
      <w:bookmarkStart w:id="4" w:name="_Hlk92128517"/>
      <w:r>
        <w:rPr>
          <w:rFonts w:hint="eastAsia" w:ascii="仿宋" w:hAnsi="仿宋" w:eastAsia="仿宋"/>
          <w:spacing w:val="-7"/>
          <w:w w:val="110"/>
          <w:sz w:val="28"/>
          <w:szCs w:val="28"/>
        </w:rPr>
        <w:t>学位点积极到省内外高校考察和交流合作，提升人才培养质量。院长丁建军一行到中南民族大学经济学院、湖南科技大学商学院、湖南农业大学商学院、湖南工业大学商学院学习交流。副院长张琰飞一行到西南大学经济管理学院、西南民族大学经济学院学习交流。</w:t>
      </w:r>
      <w:r>
        <w:rPr>
          <w:rFonts w:hint="eastAsia" w:ascii="仿宋" w:hAnsi="仿宋" w:eastAsia="仿宋"/>
          <w:color w:val="auto"/>
          <w:spacing w:val="-7"/>
          <w:w w:val="110"/>
          <w:sz w:val="28"/>
          <w:szCs w:val="28"/>
        </w:rPr>
        <w:t>积极承办学术会议，学位点承办的中国区域经济学会少数民族地区经济专业委员会202</w:t>
      </w:r>
      <w:r>
        <w:rPr>
          <w:rFonts w:hint="eastAsia" w:ascii="仿宋" w:hAnsi="仿宋" w:eastAsia="仿宋"/>
          <w:color w:val="auto"/>
          <w:spacing w:val="-7"/>
          <w:w w:val="110"/>
          <w:sz w:val="28"/>
          <w:szCs w:val="28"/>
          <w:lang w:val="en-US" w:eastAsia="zh-CN"/>
        </w:rPr>
        <w:t>2</w:t>
      </w:r>
      <w:r>
        <w:rPr>
          <w:rFonts w:hint="eastAsia" w:ascii="仿宋" w:hAnsi="仿宋" w:eastAsia="仿宋"/>
          <w:color w:val="auto"/>
          <w:spacing w:val="-7"/>
          <w:w w:val="110"/>
          <w:sz w:val="28"/>
          <w:szCs w:val="28"/>
        </w:rPr>
        <w:t>年会暨“新发展格局下的民族地区经济发展”主题研讨会成功举办。</w:t>
      </w:r>
      <w:bookmarkEnd w:id="4"/>
    </w:p>
    <w:p>
      <w:pPr>
        <w:pStyle w:val="6"/>
        <w:snapToGrid w:val="0"/>
        <w:spacing w:before="0" w:after="0" w:line="360" w:lineRule="auto"/>
        <w:ind w:firstLine="562" w:firstLineChars="200"/>
        <w:rPr>
          <w:rFonts w:ascii="仿宋" w:hAnsi="仿宋" w:eastAsia="仿宋"/>
          <w:sz w:val="28"/>
          <w:szCs w:val="28"/>
        </w:rPr>
      </w:pPr>
      <w:bookmarkStart w:id="5" w:name="_Toc92457804"/>
      <w:r>
        <w:rPr>
          <w:rFonts w:hint="eastAsia" w:ascii="仿宋" w:hAnsi="仿宋" w:eastAsia="仿宋"/>
          <w:sz w:val="28"/>
          <w:szCs w:val="28"/>
        </w:rPr>
        <w:t>3.研究生招生就业情况</w:t>
      </w:r>
      <w:bookmarkEnd w:id="5"/>
    </w:p>
    <w:p>
      <w:pPr>
        <w:pStyle w:val="7"/>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积极进行招生宣传活动，发布了多项研究生招生和调剂的微信推文，本年度共招生16名研究生，毕业1</w:t>
      </w:r>
      <w:r>
        <w:rPr>
          <w:rFonts w:hint="eastAsia" w:ascii="仿宋" w:hAnsi="仿宋" w:eastAsia="仿宋"/>
          <w:spacing w:val="-7"/>
          <w:w w:val="110"/>
          <w:sz w:val="28"/>
          <w:szCs w:val="28"/>
          <w:lang w:val="en-US" w:eastAsia="zh-CN"/>
        </w:rPr>
        <w:t>3</w:t>
      </w:r>
      <w:r>
        <w:rPr>
          <w:rFonts w:hint="eastAsia" w:ascii="仿宋" w:hAnsi="仿宋" w:eastAsia="仿宋"/>
          <w:spacing w:val="-7"/>
          <w:w w:val="110"/>
          <w:sz w:val="28"/>
          <w:szCs w:val="28"/>
        </w:rPr>
        <w:t>名，授予学位1</w:t>
      </w:r>
      <w:r>
        <w:rPr>
          <w:rFonts w:hint="eastAsia" w:ascii="仿宋" w:hAnsi="仿宋" w:eastAsia="仿宋"/>
          <w:spacing w:val="-7"/>
          <w:w w:val="110"/>
          <w:sz w:val="28"/>
          <w:szCs w:val="28"/>
          <w:lang w:val="en-US" w:eastAsia="zh-CN"/>
        </w:rPr>
        <w:t>3</w:t>
      </w:r>
      <w:r>
        <w:rPr>
          <w:rFonts w:hint="eastAsia" w:ascii="仿宋" w:hAnsi="仿宋" w:eastAsia="仿宋"/>
          <w:spacing w:val="-7"/>
          <w:w w:val="110"/>
          <w:sz w:val="28"/>
          <w:szCs w:val="28"/>
        </w:rPr>
        <w:t>名，现有在校研究生数量为</w:t>
      </w:r>
      <w:r>
        <w:rPr>
          <w:rFonts w:hint="eastAsia" w:ascii="仿宋" w:hAnsi="仿宋" w:eastAsia="仿宋"/>
          <w:spacing w:val="-7"/>
          <w:w w:val="110"/>
          <w:sz w:val="28"/>
          <w:szCs w:val="28"/>
          <w:lang w:val="en-US" w:eastAsia="zh-CN"/>
        </w:rPr>
        <w:t>52</w:t>
      </w:r>
      <w:r>
        <w:rPr>
          <w:rFonts w:hint="eastAsia" w:ascii="仿宋" w:hAnsi="仿宋" w:eastAsia="仿宋"/>
          <w:spacing w:val="-7"/>
          <w:w w:val="110"/>
          <w:sz w:val="28"/>
          <w:szCs w:val="28"/>
        </w:rPr>
        <w:t>名（表1）。</w:t>
      </w:r>
    </w:p>
    <w:p>
      <w:pPr>
        <w:snapToGrid w:val="0"/>
        <w:spacing w:line="360" w:lineRule="auto"/>
        <w:ind w:firstLine="500" w:firstLineChars="200"/>
        <w:jc w:val="center"/>
        <w:rPr>
          <w:rFonts w:ascii="仿宋" w:hAnsi="仿宋" w:eastAsia="仿宋"/>
          <w:spacing w:val="-7"/>
          <w:w w:val="110"/>
          <w:sz w:val="24"/>
          <w:szCs w:val="24"/>
        </w:rPr>
      </w:pPr>
      <w:r>
        <w:rPr>
          <w:rFonts w:hint="eastAsia" w:ascii="仿宋" w:hAnsi="仿宋" w:eastAsia="仿宋"/>
          <w:spacing w:val="-7"/>
          <w:w w:val="110"/>
          <w:sz w:val="24"/>
          <w:szCs w:val="24"/>
        </w:rPr>
        <w:t>表1</w:t>
      </w:r>
      <w:r>
        <w:rPr>
          <w:rFonts w:ascii="仿宋" w:hAnsi="仿宋" w:eastAsia="仿宋"/>
          <w:spacing w:val="-7"/>
          <w:w w:val="110"/>
          <w:sz w:val="24"/>
          <w:szCs w:val="24"/>
        </w:rPr>
        <w:t xml:space="preserve"> </w:t>
      </w:r>
      <w:r>
        <w:rPr>
          <w:rFonts w:hint="eastAsia" w:ascii="仿宋" w:hAnsi="仿宋" w:eastAsia="仿宋"/>
          <w:spacing w:val="-7"/>
          <w:w w:val="110"/>
          <w:sz w:val="24"/>
          <w:szCs w:val="24"/>
        </w:rPr>
        <w:t>学位点在读研究生基本情况表</w:t>
      </w:r>
    </w:p>
    <w:tbl>
      <w:tblPr>
        <w:tblStyle w:val="13"/>
        <w:tblW w:w="7861" w:type="dxa"/>
        <w:tblInd w:w="93" w:type="dxa"/>
        <w:tblLayout w:type="fixed"/>
        <w:tblCellMar>
          <w:top w:w="0" w:type="dxa"/>
          <w:left w:w="108" w:type="dxa"/>
          <w:bottom w:w="0" w:type="dxa"/>
          <w:right w:w="108" w:type="dxa"/>
        </w:tblCellMar>
      </w:tblPr>
      <w:tblGrid>
        <w:gridCol w:w="1329"/>
        <w:gridCol w:w="1080"/>
        <w:gridCol w:w="1080"/>
        <w:gridCol w:w="1106"/>
        <w:gridCol w:w="1443"/>
        <w:gridCol w:w="743"/>
        <w:gridCol w:w="1080"/>
      </w:tblGrid>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学号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性别</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出生年月</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政治面貌</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hint="eastAsia" w:ascii="仿宋" w:hAnsi="仿宋" w:eastAsia="仿宋" w:cs="Arial"/>
                <w:sz w:val="20"/>
              </w:rPr>
              <w:t>入学年份</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文静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19981118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姚爽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19981129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殷悦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19980314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马文祥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19960311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尹瑾雯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19980922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汤露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19980906</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王郁涵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19980824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周天云子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19980630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汉仪书宋二KW"/>
                <w:sz w:val="20"/>
              </w:rPr>
            </w:pPr>
            <w:r>
              <w:rPr>
                <w:rFonts w:ascii="仿宋" w:hAnsi="仿宋" w:eastAsia="仿宋" w:cs="汉仪书宋二KW"/>
                <w:kern w:val="0"/>
                <w:sz w:val="20"/>
                <w:lang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王淀坤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19980616</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郑乐伟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19950702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刘贤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19951011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苗族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李慧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19970305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王田田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19960122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黄珍杰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19941030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王乐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19950316</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杜荣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19961008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瞿一红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19960804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白杏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19960624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2020700158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刘艺璇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19970101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sz w:val="20"/>
              </w:rPr>
            </w:pPr>
            <w:r>
              <w:rPr>
                <w:rFonts w:ascii="仿宋" w:hAnsi="仿宋" w:eastAsia="仿宋" w:cs="Arial"/>
                <w:kern w:val="0"/>
                <w:sz w:val="20"/>
                <w:lang w:bidi="ar"/>
              </w:rPr>
              <w:t>2020</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陈瑶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19980621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程慧慧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19970108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丁美华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19980315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丁楠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19970218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董梁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19970319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龚涵涛</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19961110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郭慧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郝明瑶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19980610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满族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胡定国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19960925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李莉玲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19990819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李玲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20010508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谈群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19970104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万航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19991022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夏涛</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19970827</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张婷婷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19990312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 w:hAnsi="仿宋" w:eastAsia="仿宋" w:cs="Arial"/>
                <w:kern w:val="0"/>
                <w:sz w:val="20"/>
                <w:lang w:bidi="ar"/>
              </w:rPr>
            </w:pPr>
            <w:r>
              <w:rPr>
                <w:rFonts w:hint="eastAsia" w:ascii="仿宋" w:hAnsi="仿宋" w:eastAsia="仿宋" w:cs="Arial"/>
                <w:kern w:val="0"/>
                <w:sz w:val="20"/>
                <w:lang w:bidi="ar"/>
              </w:rPr>
              <w:t>2021700230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周传辉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19971206</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Arial"/>
                <w:kern w:val="0"/>
                <w:sz w:val="20"/>
                <w:lang w:bidi="ar"/>
              </w:rPr>
            </w:pPr>
            <w:r>
              <w:rPr>
                <w:rFonts w:ascii="仿宋" w:hAnsi="仿宋" w:eastAsia="仿宋" w:cs="Arial"/>
                <w:kern w:val="0"/>
                <w:sz w:val="20"/>
                <w:lang w:bidi="ar"/>
              </w:rPr>
              <w:t>2021</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仰玉婷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19991012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王国涛</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19970923</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吴宏儒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19990709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万佳怡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19990120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中共党员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刘恒宇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19990510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群众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曾强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19990618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2022700099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张丽丽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19980102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王辉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19970801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曹务腾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19981123</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李怡环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19990529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刘娟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19950919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预备党员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张舒阳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19980929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李鑫雯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19990501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陈熙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徐菲菲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19980814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土家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黄世瑛</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19981114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共青团员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r>
        <w:tblPrEx>
          <w:tblCellMar>
            <w:top w:w="0" w:type="dxa"/>
            <w:left w:w="108" w:type="dxa"/>
            <w:bottom w:w="0" w:type="dxa"/>
            <w:right w:w="108" w:type="dxa"/>
          </w:tblCellMar>
        </w:tblPrEx>
        <w:trPr>
          <w:trHeight w:val="255"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2022700109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谢佳丽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女</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19990529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预备党员</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汉族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仿宋" w:hAnsi="仿宋" w:eastAsia="仿宋" w:cs="Arial"/>
                <w:kern w:val="0"/>
                <w:sz w:val="20"/>
                <w:lang w:val="en-US" w:eastAsia="zh-CN" w:bidi="ar"/>
              </w:rPr>
            </w:pPr>
            <w:r>
              <w:rPr>
                <w:rFonts w:hint="eastAsia" w:ascii="仿宋" w:hAnsi="仿宋" w:eastAsia="仿宋" w:cs="Arial"/>
                <w:kern w:val="0"/>
                <w:sz w:val="20"/>
                <w:lang w:val="en-US" w:eastAsia="zh-CN" w:bidi="ar"/>
              </w:rPr>
              <w:t>2022</w:t>
            </w:r>
          </w:p>
        </w:tc>
      </w:tr>
    </w:tbl>
    <w:p>
      <w:pPr>
        <w:pStyle w:val="2"/>
        <w:snapToGrid w:val="0"/>
        <w:spacing w:after="0" w:line="360" w:lineRule="auto"/>
        <w:ind w:left="0" w:leftChars="0" w:firstLine="0"/>
        <w:rPr>
          <w:b/>
          <w:bCs/>
          <w:sz w:val="28"/>
          <w:szCs w:val="24"/>
          <w:highlight w:val="yellow"/>
        </w:rPr>
      </w:pPr>
    </w:p>
    <w:p>
      <w:pPr>
        <w:pStyle w:val="7"/>
        <w:tabs>
          <w:tab w:val="left" w:pos="8280"/>
        </w:tabs>
        <w:snapToGrid w:val="0"/>
        <w:spacing w:after="0" w:line="360" w:lineRule="auto"/>
        <w:ind w:right="26" w:firstLine="588" w:firstLineChars="200"/>
        <w:rPr>
          <w:rFonts w:ascii="仿宋" w:hAnsi="仿宋" w:eastAsia="仿宋"/>
          <w:color w:val="auto"/>
          <w:spacing w:val="-7"/>
          <w:w w:val="110"/>
          <w:sz w:val="28"/>
          <w:szCs w:val="28"/>
        </w:rPr>
      </w:pPr>
      <w:r>
        <w:rPr>
          <w:rFonts w:hint="eastAsia" w:ascii="仿宋" w:hAnsi="仿宋" w:eastAsia="仿宋"/>
          <w:color w:val="auto"/>
          <w:spacing w:val="-7"/>
          <w:w w:val="110"/>
          <w:sz w:val="28"/>
          <w:szCs w:val="28"/>
        </w:rPr>
        <w:t>本年度毕业1</w:t>
      </w:r>
      <w:r>
        <w:rPr>
          <w:rFonts w:hint="eastAsia" w:ascii="仿宋" w:hAnsi="仿宋" w:eastAsia="仿宋"/>
          <w:color w:val="auto"/>
          <w:spacing w:val="-7"/>
          <w:w w:val="110"/>
          <w:sz w:val="28"/>
          <w:szCs w:val="28"/>
          <w:lang w:val="en-US" w:eastAsia="zh-CN"/>
        </w:rPr>
        <w:t>3</w:t>
      </w:r>
      <w:r>
        <w:rPr>
          <w:rFonts w:hint="eastAsia" w:ascii="仿宋" w:hAnsi="仿宋" w:eastAsia="仿宋"/>
          <w:color w:val="auto"/>
          <w:spacing w:val="-7"/>
          <w:w w:val="110"/>
          <w:sz w:val="28"/>
          <w:szCs w:val="28"/>
        </w:rPr>
        <w:t>名研究生实现就业率</w:t>
      </w:r>
      <w:r>
        <w:rPr>
          <w:rFonts w:hint="eastAsia" w:ascii="仿宋" w:hAnsi="仿宋" w:eastAsia="仿宋"/>
          <w:color w:val="auto"/>
          <w:spacing w:val="-7"/>
          <w:w w:val="110"/>
          <w:sz w:val="28"/>
          <w:szCs w:val="28"/>
          <w:lang w:val="en-US" w:eastAsia="zh-CN"/>
        </w:rPr>
        <w:t>85</w:t>
      </w:r>
      <w:r>
        <w:rPr>
          <w:rFonts w:hint="eastAsia" w:ascii="仿宋" w:hAnsi="仿宋" w:eastAsia="仿宋"/>
          <w:color w:val="auto"/>
          <w:spacing w:val="-7"/>
          <w:w w:val="110"/>
          <w:sz w:val="28"/>
          <w:szCs w:val="28"/>
        </w:rPr>
        <w:t>%，其中</w:t>
      </w:r>
      <w:r>
        <w:rPr>
          <w:rFonts w:hint="eastAsia" w:ascii="仿宋" w:hAnsi="仿宋" w:eastAsia="仿宋"/>
          <w:color w:val="auto"/>
          <w:spacing w:val="-7"/>
          <w:w w:val="110"/>
          <w:sz w:val="28"/>
          <w:szCs w:val="28"/>
          <w:lang w:val="en-US" w:eastAsia="zh-CN"/>
        </w:rPr>
        <w:t>1</w:t>
      </w:r>
      <w:r>
        <w:rPr>
          <w:rFonts w:hint="eastAsia" w:ascii="仿宋" w:hAnsi="仿宋" w:eastAsia="仿宋"/>
          <w:color w:val="auto"/>
          <w:spacing w:val="-7"/>
          <w:w w:val="110"/>
          <w:sz w:val="28"/>
          <w:szCs w:val="28"/>
        </w:rPr>
        <w:t>名研究生考上</w:t>
      </w:r>
      <w:r>
        <w:rPr>
          <w:rFonts w:hint="eastAsia" w:ascii="仿宋" w:hAnsi="仿宋" w:eastAsia="仿宋"/>
          <w:color w:val="auto"/>
          <w:spacing w:val="-7"/>
          <w:w w:val="110"/>
          <w:sz w:val="28"/>
          <w:szCs w:val="28"/>
          <w:lang w:val="en-US" w:eastAsia="zh-CN"/>
        </w:rPr>
        <w:t>厦门大学</w:t>
      </w:r>
      <w:r>
        <w:rPr>
          <w:rFonts w:hint="eastAsia" w:ascii="仿宋" w:hAnsi="仿宋" w:eastAsia="仿宋"/>
          <w:color w:val="auto"/>
          <w:spacing w:val="-7"/>
          <w:w w:val="110"/>
          <w:sz w:val="28"/>
          <w:szCs w:val="28"/>
        </w:rPr>
        <w:t>攻读博士学位，</w:t>
      </w:r>
      <w:r>
        <w:rPr>
          <w:rFonts w:hint="eastAsia" w:ascii="仿宋" w:hAnsi="仿宋" w:eastAsia="仿宋"/>
          <w:color w:val="auto"/>
          <w:spacing w:val="-7"/>
          <w:w w:val="110"/>
          <w:sz w:val="28"/>
          <w:szCs w:val="28"/>
          <w:lang w:val="en-US" w:eastAsia="zh-CN"/>
        </w:rPr>
        <w:t>1名研究生通过公务员高层次人才选拔进入政府机关工作，1名研究生通过事业单位选拔进入党政机关工作，4</w:t>
      </w:r>
      <w:r>
        <w:rPr>
          <w:rFonts w:hint="eastAsia" w:ascii="仿宋" w:hAnsi="仿宋" w:eastAsia="仿宋"/>
          <w:color w:val="auto"/>
          <w:spacing w:val="-7"/>
          <w:w w:val="110"/>
          <w:sz w:val="28"/>
          <w:szCs w:val="28"/>
        </w:rPr>
        <w:t>名研究生分别考入</w:t>
      </w:r>
      <w:r>
        <w:rPr>
          <w:rFonts w:hint="eastAsia" w:ascii="仿宋" w:hAnsi="仿宋" w:eastAsia="仿宋"/>
          <w:color w:val="auto"/>
          <w:spacing w:val="-7"/>
          <w:w w:val="110"/>
          <w:sz w:val="28"/>
          <w:szCs w:val="28"/>
          <w:lang w:val="en-US" w:eastAsia="zh-CN"/>
        </w:rPr>
        <w:t>浦发银行、中国银行、兴业银行、中国邮储银行从事金融类业务，4名研究生选择在深圳、上海的企业从事专业相关工作，另外还有2名同学处于待就业状态。</w:t>
      </w:r>
      <w:r>
        <w:rPr>
          <w:rFonts w:hint="eastAsia" w:ascii="仿宋" w:hAnsi="仿宋" w:eastAsia="仿宋"/>
          <w:color w:val="auto"/>
          <w:spacing w:val="-7"/>
          <w:w w:val="110"/>
          <w:sz w:val="28"/>
          <w:szCs w:val="28"/>
        </w:rPr>
        <w:t>（表2）。</w:t>
      </w:r>
    </w:p>
    <w:p>
      <w:pPr>
        <w:pStyle w:val="2"/>
        <w:snapToGrid w:val="0"/>
        <w:spacing w:after="0" w:line="360" w:lineRule="auto"/>
        <w:ind w:left="0" w:leftChars="0" w:firstLine="0"/>
        <w:rPr>
          <w:rFonts w:hint="eastAsia"/>
          <w:b/>
          <w:bCs/>
          <w:sz w:val="28"/>
          <w:szCs w:val="24"/>
          <w:highlight w:val="yellow"/>
        </w:rPr>
      </w:pPr>
    </w:p>
    <w:p>
      <w:pPr>
        <w:snapToGrid w:val="0"/>
        <w:spacing w:line="360" w:lineRule="auto"/>
        <w:ind w:firstLine="500" w:firstLineChars="200"/>
        <w:jc w:val="center"/>
        <w:rPr>
          <w:rFonts w:ascii="仿宋" w:hAnsi="仿宋" w:eastAsia="仿宋"/>
          <w:spacing w:val="-7"/>
          <w:w w:val="110"/>
          <w:sz w:val="28"/>
          <w:szCs w:val="28"/>
        </w:rPr>
      </w:pPr>
      <w:r>
        <w:rPr>
          <w:rFonts w:ascii="仿宋" w:hAnsi="仿宋" w:eastAsia="仿宋"/>
          <w:spacing w:val="-7"/>
          <w:w w:val="110"/>
          <w:sz w:val="24"/>
          <w:szCs w:val="24"/>
        </w:rPr>
        <w:t>2</w:t>
      </w:r>
      <w:r>
        <w:rPr>
          <w:rFonts w:hint="eastAsia" w:ascii="仿宋" w:hAnsi="仿宋" w:eastAsia="仿宋"/>
          <w:spacing w:val="-7"/>
          <w:w w:val="110"/>
          <w:sz w:val="24"/>
          <w:szCs w:val="24"/>
          <w:lang w:val="en-US" w:eastAsia="zh-CN"/>
        </w:rPr>
        <w:t>2</w:t>
      </w:r>
      <w:r>
        <w:rPr>
          <w:rFonts w:hint="eastAsia" w:ascii="仿宋" w:hAnsi="仿宋" w:eastAsia="仿宋"/>
          <w:spacing w:val="-7"/>
          <w:w w:val="110"/>
          <w:sz w:val="24"/>
          <w:szCs w:val="24"/>
        </w:rPr>
        <w:t>届应用经济学毕业生就业情况表</w:t>
      </w:r>
    </w:p>
    <w:tbl>
      <w:tblPr>
        <w:tblStyle w:val="13"/>
        <w:tblW w:w="8663" w:type="dxa"/>
        <w:tblInd w:w="93" w:type="dxa"/>
        <w:tblLayout w:type="autofit"/>
        <w:tblCellMar>
          <w:top w:w="0" w:type="dxa"/>
          <w:left w:w="108" w:type="dxa"/>
          <w:bottom w:w="0" w:type="dxa"/>
          <w:right w:w="108" w:type="dxa"/>
        </w:tblCellMar>
      </w:tblPr>
      <w:tblGrid>
        <w:gridCol w:w="1216"/>
        <w:gridCol w:w="845"/>
        <w:gridCol w:w="4032"/>
        <w:gridCol w:w="1437"/>
        <w:gridCol w:w="1133"/>
      </w:tblGrid>
      <w:tr>
        <w:tblPrEx>
          <w:tblCellMar>
            <w:top w:w="0" w:type="dxa"/>
            <w:left w:w="108" w:type="dxa"/>
            <w:bottom w:w="0" w:type="dxa"/>
            <w:right w:w="108" w:type="dxa"/>
          </w:tblCellMar>
        </w:tblPrEx>
        <w:trPr>
          <w:trHeight w:val="5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学号</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姓名</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单位名称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b/>
                <w:bCs/>
                <w:sz w:val="22"/>
                <w:szCs w:val="22"/>
              </w:rPr>
            </w:pPr>
            <w:r>
              <w:rPr>
                <w:rFonts w:hint="eastAsia" w:ascii="仿宋" w:hAnsi="仿宋" w:eastAsia="仿宋" w:cs="宋体"/>
                <w:b/>
                <w:bCs/>
                <w:sz w:val="22"/>
                <w:szCs w:val="22"/>
              </w:rPr>
              <w:t>单位所在地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b/>
                <w:bCs/>
                <w:sz w:val="22"/>
                <w:szCs w:val="22"/>
              </w:rPr>
            </w:pPr>
            <w:r>
              <w:rPr>
                <w:rFonts w:hint="eastAsia" w:ascii="仿宋" w:hAnsi="仿宋" w:eastAsia="仿宋" w:cs="宋体"/>
                <w:b/>
                <w:bCs/>
                <w:kern w:val="0"/>
                <w:sz w:val="22"/>
                <w:szCs w:val="22"/>
                <w:lang w:bidi="ar"/>
              </w:rPr>
              <w:t>单位性质</w:t>
            </w:r>
          </w:p>
        </w:tc>
      </w:tr>
      <w:tr>
        <w:tblPrEx>
          <w:tblCellMar>
            <w:top w:w="0" w:type="dxa"/>
            <w:left w:w="108" w:type="dxa"/>
            <w:bottom w:w="0" w:type="dxa"/>
            <w:right w:w="108" w:type="dxa"/>
          </w:tblCellMar>
        </w:tblPrEx>
        <w:trPr>
          <w:trHeight w:val="4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蔡梦佳</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上海浦东发展银行股份有限公司宿迁分行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江苏省宿迁市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金融机构</w:t>
            </w:r>
          </w:p>
        </w:tc>
      </w:tr>
      <w:tr>
        <w:tblPrEx>
          <w:tblCellMar>
            <w:top w:w="0" w:type="dxa"/>
            <w:left w:w="108" w:type="dxa"/>
            <w:bottom w:w="0" w:type="dxa"/>
            <w:right w:w="108" w:type="dxa"/>
          </w:tblCellMar>
        </w:tblPrEx>
        <w:trPr>
          <w:trHeight w:val="421"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陈少华</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中国银行股份有限公司厦门市分行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福建省厦门市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金融机构</w:t>
            </w:r>
          </w:p>
        </w:tc>
      </w:tr>
      <w:tr>
        <w:tblPrEx>
          <w:tblCellMar>
            <w:top w:w="0" w:type="dxa"/>
            <w:left w:w="108" w:type="dxa"/>
            <w:bottom w:w="0" w:type="dxa"/>
            <w:right w:w="108" w:type="dxa"/>
          </w:tblCellMar>
        </w:tblPrEx>
        <w:trPr>
          <w:trHeight w:val="38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邓崇真</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中共娄底市委办公室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湖南省娄底市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党政机关</w:t>
            </w:r>
          </w:p>
        </w:tc>
      </w:tr>
      <w:tr>
        <w:tblPrEx>
          <w:tblCellMar>
            <w:top w:w="0" w:type="dxa"/>
            <w:left w:w="108" w:type="dxa"/>
            <w:bottom w:w="0" w:type="dxa"/>
            <w:right w:w="108" w:type="dxa"/>
          </w:tblCellMar>
        </w:tblPrEx>
        <w:trPr>
          <w:trHeight w:val="377"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李松林</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厦门大学</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福建省厦门市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升学</w:t>
            </w:r>
          </w:p>
        </w:tc>
      </w:tr>
      <w:tr>
        <w:tblPrEx>
          <w:tblCellMar>
            <w:top w:w="0" w:type="dxa"/>
            <w:left w:w="108" w:type="dxa"/>
            <w:bottom w:w="0" w:type="dxa"/>
            <w:right w:w="108" w:type="dxa"/>
          </w:tblCellMar>
        </w:tblPrEx>
        <w:trPr>
          <w:trHeight w:val="411"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2019700017</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马瑞哲</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兴业银行股份有限公司上海分行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上海市静安区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金融机构</w:t>
            </w:r>
          </w:p>
        </w:tc>
      </w:tr>
      <w:tr>
        <w:tblPrEx>
          <w:tblCellMar>
            <w:top w:w="0" w:type="dxa"/>
            <w:left w:w="108" w:type="dxa"/>
            <w:bottom w:w="0" w:type="dxa"/>
            <w:right w:w="108" w:type="dxa"/>
          </w:tblCellMar>
        </w:tblPrEx>
        <w:trPr>
          <w:trHeight w:val="4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2019700019</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王满</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深圳市维度数据科技股份有限公司</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广东省深圳市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其他企业</w:t>
            </w:r>
          </w:p>
        </w:tc>
      </w:tr>
      <w:tr>
        <w:tblPrEx>
          <w:tblCellMar>
            <w:top w:w="0" w:type="dxa"/>
            <w:left w:w="108" w:type="dxa"/>
            <w:bottom w:w="0" w:type="dxa"/>
            <w:right w:w="108" w:type="dxa"/>
          </w:tblCellMar>
        </w:tblPrEx>
        <w:trPr>
          <w:trHeight w:val="45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2019700021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张驰</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国家税务总局常宁市税务局</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湖南省常宁市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党政机关</w:t>
            </w:r>
          </w:p>
        </w:tc>
      </w:tr>
      <w:tr>
        <w:tblPrEx>
          <w:tblCellMar>
            <w:top w:w="0" w:type="dxa"/>
            <w:left w:w="108" w:type="dxa"/>
            <w:bottom w:w="0" w:type="dxa"/>
            <w:right w:w="108" w:type="dxa"/>
          </w:tblCellMar>
        </w:tblPrEx>
        <w:trPr>
          <w:trHeight w:val="41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2019700022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张丽</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壹品慧生活科技有限公司</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广东省深圳市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其他企业</w:t>
            </w:r>
          </w:p>
        </w:tc>
      </w:tr>
      <w:tr>
        <w:tblPrEx>
          <w:tblCellMar>
            <w:top w:w="0" w:type="dxa"/>
            <w:left w:w="108" w:type="dxa"/>
            <w:bottom w:w="0" w:type="dxa"/>
            <w:right w:w="108" w:type="dxa"/>
          </w:tblCellMar>
        </w:tblPrEx>
        <w:trPr>
          <w:trHeight w:val="4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2019700023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宗卿惠</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中国邮政储蓄银行股份有限公司泰州市分行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江苏省泰州市</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金融机构</w:t>
            </w:r>
          </w:p>
        </w:tc>
      </w:tr>
      <w:tr>
        <w:tblPrEx>
          <w:tblCellMar>
            <w:top w:w="0" w:type="dxa"/>
            <w:left w:w="108" w:type="dxa"/>
            <w:bottom w:w="0" w:type="dxa"/>
            <w:right w:w="108" w:type="dxa"/>
          </w:tblCellMar>
        </w:tblPrEx>
        <w:trPr>
          <w:trHeight w:val="49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2019700024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左洪振</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上海汉得信息技术股份有限公司</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上海市青浦区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其他企业</w:t>
            </w:r>
          </w:p>
        </w:tc>
      </w:tr>
      <w:tr>
        <w:tblPrEx>
          <w:tblCellMar>
            <w:top w:w="0" w:type="dxa"/>
            <w:left w:w="108" w:type="dxa"/>
            <w:bottom w:w="0" w:type="dxa"/>
            <w:right w:w="108" w:type="dxa"/>
          </w:tblCellMar>
        </w:tblPrEx>
        <w:trPr>
          <w:trHeight w:val="507"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孙丽</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kern w:val="0"/>
                <w:sz w:val="20"/>
                <w:lang w:val="en-US" w:eastAsia="zh-CN" w:bidi="ar"/>
              </w:rPr>
            </w:pPr>
            <w:r>
              <w:rPr>
                <w:rFonts w:hint="eastAsia" w:ascii="仿宋" w:hAnsi="仿宋" w:eastAsia="仿宋" w:cs="宋体"/>
                <w:kern w:val="0"/>
                <w:sz w:val="20"/>
                <w:lang w:val="en-US" w:eastAsia="zh-CN" w:bidi="ar"/>
              </w:rPr>
              <w:t>中外运安迈世（上海）国际航空快递有限公司</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宋体"/>
                <w:sz w:val="20"/>
                <w:lang w:val="en-US" w:eastAsia="zh-CN"/>
              </w:rPr>
            </w:pPr>
            <w:r>
              <w:rPr>
                <w:rFonts w:hint="eastAsia" w:ascii="仿宋" w:hAnsi="仿宋" w:eastAsia="仿宋" w:cs="宋体"/>
                <w:sz w:val="20"/>
                <w:lang w:val="en-US" w:eastAsia="zh-CN"/>
              </w:rPr>
              <w:t>上海市闵行区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sz w:val="20"/>
              </w:rPr>
            </w:pPr>
            <w:r>
              <w:rPr>
                <w:rFonts w:hint="eastAsia" w:ascii="仿宋" w:hAnsi="仿宋" w:eastAsia="仿宋" w:cs="宋体"/>
                <w:sz w:val="20"/>
                <w:lang w:val="en-US" w:eastAsia="zh-CN"/>
              </w:rPr>
              <w:t>其他企业</w:t>
            </w:r>
          </w:p>
        </w:tc>
      </w:tr>
      <w:tr>
        <w:tblPrEx>
          <w:tblCellMar>
            <w:top w:w="0" w:type="dxa"/>
            <w:left w:w="108" w:type="dxa"/>
            <w:bottom w:w="0" w:type="dxa"/>
            <w:right w:w="108" w:type="dxa"/>
          </w:tblCellMar>
        </w:tblPrEx>
        <w:trPr>
          <w:trHeight w:val="507"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余方薇</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kern w:val="0"/>
                <w:sz w:val="20"/>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kern w:val="0"/>
                <w:sz w:val="20"/>
                <w:lang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sz w:val="20"/>
              </w:rPr>
            </w:pPr>
          </w:p>
        </w:tc>
      </w:tr>
      <w:tr>
        <w:tblPrEx>
          <w:tblCellMar>
            <w:top w:w="0" w:type="dxa"/>
            <w:left w:w="108" w:type="dxa"/>
            <w:bottom w:w="0" w:type="dxa"/>
            <w:right w:w="108" w:type="dxa"/>
          </w:tblCellMar>
        </w:tblPrEx>
        <w:trPr>
          <w:trHeight w:val="507"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2019700014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陈熹</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kern w:val="0"/>
                <w:sz w:val="20"/>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kern w:val="0"/>
                <w:sz w:val="20"/>
                <w:lang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宋体"/>
                <w:sz w:val="20"/>
              </w:rPr>
            </w:pPr>
          </w:p>
        </w:tc>
      </w:tr>
    </w:tbl>
    <w:p>
      <w:pPr>
        <w:pStyle w:val="7"/>
        <w:tabs>
          <w:tab w:val="left" w:pos="8280"/>
        </w:tabs>
        <w:snapToGrid w:val="0"/>
        <w:spacing w:after="0" w:line="360" w:lineRule="auto"/>
        <w:ind w:right="26" w:firstLine="588" w:firstLineChars="200"/>
        <w:rPr>
          <w:rFonts w:ascii="仿宋" w:hAnsi="仿宋" w:eastAsia="仿宋"/>
          <w:spacing w:val="-7"/>
          <w:w w:val="110"/>
          <w:sz w:val="28"/>
          <w:szCs w:val="28"/>
        </w:rPr>
      </w:pPr>
    </w:p>
    <w:p>
      <w:pPr>
        <w:pStyle w:val="6"/>
        <w:snapToGrid w:val="0"/>
        <w:spacing w:before="0" w:after="0" w:line="360" w:lineRule="auto"/>
        <w:ind w:firstLine="562" w:firstLineChars="200"/>
        <w:rPr>
          <w:rFonts w:ascii="仿宋" w:hAnsi="仿宋" w:eastAsia="仿宋"/>
          <w:sz w:val="28"/>
          <w:szCs w:val="28"/>
        </w:rPr>
      </w:pPr>
      <w:bookmarkStart w:id="6" w:name="_Toc92457805"/>
      <w:r>
        <w:rPr>
          <w:rFonts w:ascii="仿宋" w:hAnsi="仿宋" w:eastAsia="仿宋"/>
          <w:sz w:val="28"/>
          <w:szCs w:val="28"/>
        </w:rPr>
        <w:t>4</w:t>
      </w:r>
      <w:r>
        <w:rPr>
          <w:rFonts w:hint="eastAsia" w:ascii="仿宋" w:hAnsi="仿宋" w:eastAsia="仿宋"/>
          <w:sz w:val="28"/>
          <w:szCs w:val="28"/>
        </w:rPr>
        <w:t>.研究生导师状况</w:t>
      </w:r>
      <w:bookmarkEnd w:id="6"/>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学位点现有导师17名，生师比为</w:t>
      </w:r>
      <w:r>
        <w:rPr>
          <w:rFonts w:ascii="仿宋" w:hAnsi="仿宋" w:eastAsia="仿宋"/>
          <w:spacing w:val="-7"/>
          <w:w w:val="110"/>
          <w:sz w:val="28"/>
          <w:szCs w:val="28"/>
        </w:rPr>
        <w:t>2.82</w:t>
      </w:r>
      <w:r>
        <w:rPr>
          <w:rFonts w:hint="eastAsia" w:ascii="仿宋" w:hAnsi="仿宋" w:eastAsia="仿宋"/>
          <w:spacing w:val="-7"/>
          <w:w w:val="110"/>
          <w:sz w:val="28"/>
          <w:szCs w:val="28"/>
        </w:rPr>
        <w:t>：1，其中具有正高级职称导师11名，占比64.7%，具有博士学历导师10名占比58.8%。共有专任教师40人，其中教授11人、副教授17人，博士22人，教育部新世纪人才计划人选2人，湖南省“百人计划”专家1人，省级学科带头人2人；博士生导师</w:t>
      </w:r>
      <w:r>
        <w:rPr>
          <w:rFonts w:ascii="仿宋" w:hAnsi="仿宋" w:eastAsia="仿宋"/>
          <w:spacing w:val="-7"/>
          <w:w w:val="110"/>
          <w:sz w:val="28"/>
          <w:szCs w:val="28"/>
        </w:rPr>
        <w:t>4</w:t>
      </w:r>
      <w:r>
        <w:rPr>
          <w:rFonts w:hint="eastAsia" w:ascii="仿宋" w:hAnsi="仿宋" w:eastAsia="仿宋"/>
          <w:spacing w:val="-7"/>
          <w:w w:val="110"/>
          <w:sz w:val="28"/>
          <w:szCs w:val="28"/>
        </w:rPr>
        <w:t>人，教师年龄结构以中青年教师为主，学缘结构合理，多来自中山大学、中南大学、西南财经大学、南开大学等国内著名高校，全年生师比仅为1：1。</w:t>
      </w:r>
    </w:p>
    <w:p>
      <w:pPr>
        <w:snapToGrid w:val="0"/>
        <w:spacing w:line="360" w:lineRule="auto"/>
        <w:rPr>
          <w:rFonts w:ascii="仿宋" w:hAnsi="仿宋" w:eastAsia="仿宋"/>
        </w:rPr>
      </w:pPr>
    </w:p>
    <w:p>
      <w:pPr>
        <w:pStyle w:val="5"/>
        <w:snapToGrid w:val="0"/>
        <w:spacing w:before="0" w:after="0" w:line="360" w:lineRule="auto"/>
        <w:rPr>
          <w:rFonts w:ascii="黑体" w:hAnsi="黑体" w:eastAsia="黑体"/>
          <w:b w:val="0"/>
          <w:bCs w:val="0"/>
        </w:rPr>
      </w:pPr>
      <w:bookmarkStart w:id="7" w:name="_Toc92457806"/>
      <w:r>
        <w:rPr>
          <w:rFonts w:hint="eastAsia" w:ascii="黑体" w:hAnsi="黑体" w:eastAsia="黑体"/>
          <w:b w:val="0"/>
          <w:bCs w:val="0"/>
        </w:rPr>
        <w:t>二、研究生党建与思想政治教育工作</w:t>
      </w:r>
      <w:bookmarkEnd w:id="7"/>
    </w:p>
    <w:p>
      <w:pPr>
        <w:pStyle w:val="6"/>
        <w:snapToGrid w:val="0"/>
        <w:spacing w:before="0" w:after="0" w:line="360" w:lineRule="auto"/>
        <w:ind w:firstLine="618" w:firstLineChars="200"/>
        <w:rPr>
          <w:rFonts w:ascii="仿宋" w:hAnsi="仿宋" w:eastAsia="仿宋"/>
          <w:w w:val="110"/>
          <w:sz w:val="28"/>
          <w:szCs w:val="28"/>
        </w:rPr>
      </w:pPr>
      <w:bookmarkStart w:id="8" w:name="_Toc92457807"/>
      <w:bookmarkStart w:id="9" w:name="_Hlk92201961"/>
      <w:r>
        <w:rPr>
          <w:rFonts w:hint="eastAsia" w:ascii="仿宋" w:hAnsi="仿宋" w:eastAsia="仿宋"/>
          <w:w w:val="110"/>
          <w:sz w:val="28"/>
          <w:szCs w:val="28"/>
        </w:rPr>
        <w:t>1</w:t>
      </w:r>
      <w:r>
        <w:rPr>
          <w:rFonts w:ascii="仿宋" w:hAnsi="仿宋" w:eastAsia="仿宋"/>
          <w:w w:val="110"/>
          <w:sz w:val="28"/>
          <w:szCs w:val="28"/>
        </w:rPr>
        <w:t xml:space="preserve">. </w:t>
      </w:r>
      <w:r>
        <w:rPr>
          <w:rFonts w:hint="eastAsia" w:ascii="仿宋" w:hAnsi="仿宋" w:eastAsia="仿宋"/>
          <w:w w:val="110"/>
          <w:sz w:val="28"/>
          <w:szCs w:val="28"/>
        </w:rPr>
        <w:t>思想政治教育队伍建设</w:t>
      </w:r>
      <w:bookmarkEnd w:id="8"/>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根据研究生教育管理的需要，成立了以主管研究生思想政治工作的学院党委书记为组长、分管研究生教育培养的副院长为副组长、研究生专职秘书、研究生导师代表、为成员的院研究生思想政治教育工作小组；组建了学院研究生党支部和班委会、团支部，完善了研究生思想政治教育队伍建设。</w:t>
      </w:r>
    </w:p>
    <w:p>
      <w:pPr>
        <w:pStyle w:val="6"/>
        <w:snapToGrid w:val="0"/>
        <w:spacing w:before="0" w:after="0" w:line="360" w:lineRule="auto"/>
        <w:ind w:firstLine="618" w:firstLineChars="200"/>
        <w:rPr>
          <w:rFonts w:ascii="仿宋" w:hAnsi="仿宋" w:eastAsia="仿宋"/>
          <w:w w:val="110"/>
          <w:sz w:val="28"/>
          <w:szCs w:val="28"/>
        </w:rPr>
      </w:pPr>
      <w:bookmarkStart w:id="10" w:name="_Toc92457808"/>
      <w:r>
        <w:rPr>
          <w:rFonts w:hint="eastAsia" w:ascii="仿宋" w:hAnsi="仿宋" w:eastAsia="仿宋"/>
          <w:w w:val="110"/>
          <w:sz w:val="28"/>
          <w:szCs w:val="28"/>
        </w:rPr>
        <w:t>2</w:t>
      </w:r>
      <w:r>
        <w:rPr>
          <w:rFonts w:ascii="仿宋" w:hAnsi="仿宋" w:eastAsia="仿宋"/>
          <w:w w:val="110"/>
          <w:sz w:val="28"/>
          <w:szCs w:val="28"/>
        </w:rPr>
        <w:t xml:space="preserve">. </w:t>
      </w:r>
      <w:r>
        <w:rPr>
          <w:rFonts w:hint="eastAsia" w:ascii="仿宋" w:hAnsi="仿宋" w:eastAsia="仿宋"/>
          <w:w w:val="110"/>
          <w:sz w:val="28"/>
          <w:szCs w:val="28"/>
        </w:rPr>
        <w:t>理想信念和社会主义核心价值观教育</w:t>
      </w:r>
      <w:bookmarkEnd w:id="10"/>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在研究生入学初即开展了研究生入学教育，对师生的理想信念和社会主义核心价值观教育等进行教育，通过深入推进师德师风建设，广大教师坚持立德树人，坚持以“四有好老师”严格要求自己，师德师风建设成效显著。为真正做到让202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级研究生新生“稳心、暖心、贴心”，学院领导和班主任与202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级研究生新生一起欢度佳节，同时邀请已考上博士研究生的孟霏、周宇以及王璋三位毕业生与研究生新生开展学习经验交流会。</w:t>
      </w:r>
    </w:p>
    <w:p>
      <w:pPr>
        <w:snapToGrid w:val="0"/>
        <w:spacing w:line="360" w:lineRule="auto"/>
        <w:ind w:firstLine="588" w:firstLineChars="200"/>
        <w:jc w:val="left"/>
        <w:rPr>
          <w:rFonts w:hint="eastAsia" w:ascii="仿宋" w:hAnsi="仿宋" w:eastAsia="仿宋"/>
          <w:color w:val="FF0000"/>
          <w:spacing w:val="-7"/>
          <w:w w:val="110"/>
          <w:sz w:val="28"/>
          <w:szCs w:val="28"/>
        </w:rPr>
      </w:pPr>
      <w:r>
        <w:rPr>
          <w:rFonts w:hint="eastAsia" w:ascii="仿宋" w:hAnsi="仿宋" w:eastAsia="仿宋"/>
          <w:spacing w:val="-7"/>
          <w:w w:val="110"/>
          <w:sz w:val="28"/>
          <w:szCs w:val="28"/>
        </w:rPr>
        <w:t>教师理想信念更坚定。广大教师牢固树立了中国特色社会主义理想信念，扎根湖南西部和民族地区，甘于奉献，为湘西教育事业和经济社会发展服务。</w:t>
      </w:r>
      <w:r>
        <w:rPr>
          <w:rFonts w:hint="eastAsia" w:ascii="仿宋" w:hAnsi="仿宋" w:eastAsia="仿宋"/>
          <w:color w:val="auto"/>
          <w:spacing w:val="-7"/>
          <w:w w:val="110"/>
          <w:sz w:val="28"/>
          <w:szCs w:val="28"/>
        </w:rPr>
        <w:t>完成了第5部《中国连片特困区发展报告》，先后向国务院扶贫办、国家民委、湖南省政府等提交研究报告、提案、建议等10余项，获得批示或采纳3项。具有“湖南省我最喜爱的青年教师”“芙蓉百岗明星”“湖南省优秀党务工作者”等一批优秀教师，先后获共青团中央“五四红旗团总支”、“全省创先争优先进基层党组织”、共青团湖南省委“青年文明号”等荣誉称号</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教师们利用“风雨湖大讲堂”等平台强化与学生的沟通交流</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学生团队参加其它各类学科竞赛获省级以上奖励70余项</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其中，参加第八届“东方财富杯”全国大学生金融挑战赛获一、二、三等奖100余项；参加学生团队参加第十二届全国大学生市场调查与分析大赛总决赛获湖南省决赛一等奖3项、二等奖2项、三等奖5项；参加湖南省企业模拟经营大赛获一等奖3项、二等奖1项；参加湖南省“学创杯”创业模拟竞赛获一等奖4项、二等奖3项、三等奖3项；参加湖南省商业精英赛创新创业竞赛获一等奖1项、二等奖5项、三等奖7项。</w:t>
      </w:r>
    </w:p>
    <w:p>
      <w:pPr>
        <w:pStyle w:val="6"/>
        <w:snapToGrid w:val="0"/>
        <w:spacing w:before="0" w:after="0" w:line="360" w:lineRule="auto"/>
        <w:ind w:firstLine="618" w:firstLineChars="200"/>
        <w:rPr>
          <w:rFonts w:ascii="仿宋" w:hAnsi="仿宋" w:eastAsia="仿宋"/>
          <w:w w:val="110"/>
          <w:sz w:val="28"/>
          <w:szCs w:val="28"/>
        </w:rPr>
      </w:pPr>
      <w:bookmarkStart w:id="11" w:name="_Toc92457809"/>
      <w:r>
        <w:rPr>
          <w:rFonts w:hint="eastAsia" w:ascii="仿宋" w:hAnsi="仿宋" w:eastAsia="仿宋"/>
          <w:w w:val="110"/>
          <w:sz w:val="28"/>
          <w:szCs w:val="28"/>
        </w:rPr>
        <w:t>3</w:t>
      </w:r>
      <w:r>
        <w:rPr>
          <w:rFonts w:ascii="仿宋" w:hAnsi="仿宋" w:eastAsia="仿宋"/>
          <w:w w:val="110"/>
          <w:sz w:val="28"/>
          <w:szCs w:val="28"/>
        </w:rPr>
        <w:t>.</w:t>
      </w:r>
      <w:r>
        <w:rPr>
          <w:rFonts w:hint="eastAsia" w:ascii="仿宋" w:hAnsi="仿宋" w:eastAsia="仿宋"/>
          <w:w w:val="110"/>
          <w:sz w:val="28"/>
          <w:szCs w:val="28"/>
        </w:rPr>
        <w:t>学位点</w:t>
      </w:r>
      <w:r>
        <w:rPr>
          <w:rFonts w:hint="eastAsia" w:ascii="仿宋" w:hAnsi="仿宋" w:eastAsia="仿宋"/>
          <w:sz w:val="28"/>
          <w:szCs w:val="28"/>
        </w:rPr>
        <w:t>文化</w:t>
      </w:r>
      <w:r>
        <w:rPr>
          <w:rFonts w:hint="eastAsia" w:ascii="仿宋" w:hAnsi="仿宋" w:eastAsia="仿宋"/>
          <w:w w:val="110"/>
          <w:sz w:val="28"/>
          <w:szCs w:val="28"/>
        </w:rPr>
        <w:t>建设情况</w:t>
      </w:r>
      <w:bookmarkEnd w:id="11"/>
    </w:p>
    <w:bookmarkEnd w:id="9"/>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本年度学位点全面落实立德树人根本任务，将立德树人具化为培养学生经世济民情怀，着力构建一体化育人体系，形成思政教育大格局。</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1）衔接“课内课外”，创新课程思政改革。推行“问题导向+学理剖析”课程教学模式，建立“思政课+专业课+通识课”的大思政课程育人体系。依托“精准扶贫首倡地”区位优势，从“传统文化+国家战略+经济伦理”三维度挖掘课程思政元素，将专业知识传授、科学精神养成、学术理想培养有机融合。打造“三季育人”品牌，“新生季”环境熏陶新生“享温暖、增认同、转身份”，“学习季”课程引导学生“受启发、传价值、导言行”，“毕业季”实践历练学生“树理想、明责任、勇担当”。</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打造“三个文化”，推进社会实践开展。打造“弘扬红色文化”实践活动，依托“灯塔学子”志愿服务、“青年红色筑梦之旅”、“青春心向党·追梦新征程”朗诵比赛及“我为群众办实事”主题实践活动等活动，开展红色实践，传承红色基因。实施“传承传统文化”实践活动，依托五四歌咏比赛、武陵风情风俗走访活动等，传承传统文化。开展“打造职业文化”实践活动，依托“千村大调查”“武陵山片区区域发展研究”等，打造职业文化。</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管控“线上+线下”，筑牢意识形态阵地。依托“吉大商学院”“研经商思”公众号和“易班网”等线上思政教育平台，制定《网站群平台管理办法》《新媒体平台管理办法》，加强线上宣传阵地管控。严格执行“一会一报”“一事一报”制度；严格出版物“三审三校”制度，加强教材、教辅资料、学生论文的内容审查，加强线下宣传阵地监管。</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突出“党支部+学科发展”思路，夯实基层党组织。聚焦政治建设，让思想引领强起来。在人才引进、导师评聘、职称评定中把师德师风作为首要标准，依托“十八洞村”讲好中国脱贫故事。聚焦组织建设，让作用发挥强起来。落实“党支部+”工作方案，建设十八洞村乡村振兴学院，夯实党支部支撑学科发展着力点。聚焦人才建设，让支部书记强起来。把支部书记作为人才储备进行培养，选拔优秀“双带头人”。</w:t>
      </w:r>
    </w:p>
    <w:p>
      <w:pPr>
        <w:pStyle w:val="6"/>
        <w:snapToGrid w:val="0"/>
        <w:spacing w:before="0" w:after="0" w:line="360" w:lineRule="auto"/>
        <w:ind w:firstLine="618" w:firstLineChars="200"/>
        <w:rPr>
          <w:rFonts w:ascii="仿宋" w:hAnsi="仿宋" w:eastAsia="仿宋"/>
          <w:w w:val="110"/>
          <w:sz w:val="28"/>
          <w:szCs w:val="28"/>
        </w:rPr>
      </w:pPr>
      <w:bookmarkStart w:id="12" w:name="_Toc92457810"/>
      <w:r>
        <w:rPr>
          <w:rFonts w:hint="eastAsia" w:ascii="仿宋" w:hAnsi="仿宋" w:eastAsia="仿宋"/>
          <w:w w:val="110"/>
          <w:sz w:val="28"/>
          <w:szCs w:val="28"/>
        </w:rPr>
        <w:t>4</w:t>
      </w:r>
      <w:r>
        <w:rPr>
          <w:rFonts w:ascii="仿宋" w:hAnsi="仿宋" w:eastAsia="仿宋"/>
          <w:w w:val="110"/>
          <w:sz w:val="28"/>
          <w:szCs w:val="28"/>
        </w:rPr>
        <w:t xml:space="preserve">. </w:t>
      </w:r>
      <w:r>
        <w:rPr>
          <w:rFonts w:hint="eastAsia" w:ascii="仿宋" w:hAnsi="仿宋" w:eastAsia="仿宋"/>
          <w:w w:val="110"/>
          <w:sz w:val="28"/>
          <w:szCs w:val="28"/>
        </w:rPr>
        <w:t>学位点日常管理、服务工作情况</w:t>
      </w:r>
      <w:bookmarkEnd w:id="12"/>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在研究生入学初即开展了研究生入学教育，对研究生的理想信念和社会主义核心价值观教育等进行教育，并畅通了学生信息反馈渠道，建立了谈话机制，各专业都有信息联络员，可以保证随时对学生群体中出现的心理问题进行疏导。对有家庭经济困难的，学习、生活中碰到障碍的可能引发学生价值观偏向的学生，学位点组织了专人与之谈话。全年共做理想信念和社会主义核心价值观教育类讲座近10场，各类层次的谈话20余次。</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积极组织研究生开展各种主题活动，本年度共组织或参加元旦晚会、毕业晚会、湖南省第八届高校研究生英语翻译大赛、英语演讲大赛、研究生辩论赛、第十四届“挑战杯”湖南省大学生课外学术科技作品竞赛、第十三届“华中杯”大学生数学建模挑战赛、“正大杯全国大学生市场调查与分析大赛”全国研究生选拔赛、“东方财富杯”全国大学生金融精英挑战赛国赛、</w:t>
      </w:r>
      <w:r>
        <w:rPr>
          <w:rFonts w:hint="eastAsia" w:ascii="仿宋" w:hAnsi="仿宋" w:eastAsia="仿宋"/>
          <w:color w:val="auto"/>
          <w:spacing w:val="-7"/>
          <w:w w:val="110"/>
          <w:sz w:val="28"/>
          <w:szCs w:val="28"/>
        </w:rPr>
        <w:t>吉首大学第</w:t>
      </w:r>
      <w:r>
        <w:rPr>
          <w:rFonts w:hint="eastAsia" w:ascii="仿宋" w:hAnsi="仿宋" w:eastAsia="仿宋"/>
          <w:color w:val="auto"/>
          <w:spacing w:val="-7"/>
          <w:w w:val="110"/>
          <w:sz w:val="28"/>
          <w:szCs w:val="28"/>
          <w:lang w:val="en-US" w:eastAsia="zh-CN"/>
        </w:rPr>
        <w:t>三</w:t>
      </w:r>
      <w:r>
        <w:rPr>
          <w:rFonts w:hint="eastAsia" w:ascii="仿宋" w:hAnsi="仿宋" w:eastAsia="仿宋"/>
          <w:color w:val="auto"/>
          <w:spacing w:val="-7"/>
          <w:w w:val="110"/>
          <w:sz w:val="28"/>
          <w:szCs w:val="28"/>
        </w:rPr>
        <w:t>届MBA案例大赛、全国MPACC案例大赛等丰富校园文化生活的活动，且都有较好的成绩，参加</w:t>
      </w:r>
      <w:r>
        <w:rPr>
          <w:rFonts w:hint="eastAsia" w:ascii="仿宋" w:hAnsi="仿宋" w:eastAsia="仿宋"/>
          <w:color w:val="auto"/>
          <w:spacing w:val="-7"/>
          <w:w w:val="110"/>
          <w:sz w:val="28"/>
          <w:szCs w:val="28"/>
          <w:lang w:val="en-US" w:eastAsia="zh-CN"/>
        </w:rPr>
        <w:t>正大杯第十二届全国大学生市场调查与分析大赛湖南赛区研究生选拔赛获团体二等奖；第七届湖南省高校MBA 企业案例大赛获团体二等奖；2022年全国高校商业精英挑战赛“精创教育杯”获团体三等奖；第二届湖南省研究生金融案例分析大赛获团体二等奖；第二届湖南省研究生金融案例分析大赛获团体二等奖</w:t>
      </w:r>
      <w:r>
        <w:rPr>
          <w:rFonts w:hint="eastAsia" w:ascii="仿宋" w:hAnsi="仿宋" w:eastAsia="仿宋"/>
          <w:color w:val="auto"/>
          <w:spacing w:val="-7"/>
          <w:w w:val="110"/>
          <w:sz w:val="28"/>
          <w:szCs w:val="28"/>
        </w:rPr>
        <w:t>（表3）。</w:t>
      </w:r>
    </w:p>
    <w:tbl>
      <w:tblPr>
        <w:tblStyle w:val="13"/>
        <w:tblpPr w:leftFromText="180" w:rightFromText="180" w:vertAnchor="text" w:horzAnchor="page" w:tblpXSpec="center" w:tblpY="927"/>
        <w:tblOverlap w:val="never"/>
        <w:tblW w:w="4991" w:type="pct"/>
        <w:jc w:val="center"/>
        <w:tblLayout w:type="autofit"/>
        <w:tblCellMar>
          <w:top w:w="0" w:type="dxa"/>
          <w:left w:w="0" w:type="dxa"/>
          <w:bottom w:w="0" w:type="dxa"/>
          <w:right w:w="0" w:type="dxa"/>
        </w:tblCellMar>
      </w:tblPr>
      <w:tblGrid>
        <w:gridCol w:w="631"/>
        <w:gridCol w:w="1955"/>
        <w:gridCol w:w="1433"/>
        <w:gridCol w:w="870"/>
        <w:gridCol w:w="1391"/>
        <w:gridCol w:w="632"/>
        <w:gridCol w:w="730"/>
        <w:gridCol w:w="679"/>
      </w:tblGrid>
      <w:tr>
        <w:tblPrEx>
          <w:tblCellMar>
            <w:top w:w="0" w:type="dxa"/>
            <w:left w:w="0" w:type="dxa"/>
            <w:bottom w:w="0" w:type="dxa"/>
            <w:right w:w="0" w:type="dxa"/>
          </w:tblCellMar>
        </w:tblPrEx>
        <w:trPr>
          <w:trHeight w:val="735" w:hRule="atLeast"/>
          <w:jc w:val="center"/>
        </w:trPr>
        <w:tc>
          <w:tcPr>
            <w:tcW w:w="5000" w:type="pct"/>
            <w:gridSpan w:val="8"/>
            <w:tcBorders>
              <w:top w:val="nil"/>
              <w:left w:val="nil"/>
              <w:bottom w:val="single" w:color="000000" w:sz="4" w:space="0"/>
              <w:right w:val="nil"/>
            </w:tcBorders>
            <w:shd w:val="clear" w:color="auto" w:fill="auto"/>
            <w:noWrap/>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bCs/>
                <w:kern w:val="0"/>
                <w:sz w:val="28"/>
                <w:szCs w:val="28"/>
                <w:lang w:bidi="ar"/>
              </w:rPr>
            </w:pPr>
            <w:r>
              <w:rPr>
                <w:rFonts w:hint="eastAsia" w:ascii="仿宋" w:hAnsi="仿宋" w:eastAsia="仿宋" w:cs="宋体"/>
                <w:bCs/>
                <w:kern w:val="0"/>
                <w:sz w:val="28"/>
                <w:szCs w:val="28"/>
                <w:lang w:bidi="ar"/>
              </w:rPr>
              <w:t>表3</w:t>
            </w:r>
            <w:r>
              <w:rPr>
                <w:rFonts w:ascii="仿宋" w:hAnsi="仿宋" w:eastAsia="仿宋" w:cs="宋体"/>
                <w:bCs/>
                <w:kern w:val="0"/>
                <w:sz w:val="28"/>
                <w:szCs w:val="28"/>
                <w:lang w:bidi="ar"/>
              </w:rPr>
              <w:t xml:space="preserve"> </w:t>
            </w:r>
            <w:r>
              <w:rPr>
                <w:rFonts w:hint="eastAsia" w:ascii="仿宋" w:hAnsi="仿宋" w:eastAsia="仿宋" w:cs="宋体"/>
                <w:bCs/>
                <w:kern w:val="0"/>
                <w:sz w:val="28"/>
                <w:szCs w:val="28"/>
                <w:lang w:bidi="ar"/>
              </w:rPr>
              <w:t>202</w:t>
            </w:r>
            <w:r>
              <w:rPr>
                <w:rFonts w:hint="eastAsia" w:ascii="仿宋" w:hAnsi="仿宋" w:eastAsia="仿宋" w:cs="宋体"/>
                <w:bCs/>
                <w:kern w:val="0"/>
                <w:sz w:val="28"/>
                <w:szCs w:val="28"/>
                <w:lang w:val="en-US" w:eastAsia="zh-CN" w:bidi="ar"/>
              </w:rPr>
              <w:t>2</w:t>
            </w:r>
            <w:r>
              <w:rPr>
                <w:rFonts w:hint="eastAsia" w:ascii="仿宋" w:hAnsi="仿宋" w:eastAsia="仿宋" w:cs="宋体"/>
                <w:bCs/>
                <w:kern w:val="0"/>
                <w:sz w:val="28"/>
                <w:szCs w:val="28"/>
                <w:lang w:bidi="ar"/>
              </w:rPr>
              <w:t>年研究生学科竞赛获奖情况统计表（部分）</w:t>
            </w:r>
          </w:p>
        </w:tc>
      </w:tr>
      <w:tr>
        <w:tblPrEx>
          <w:tblCellMar>
            <w:top w:w="0" w:type="dxa"/>
            <w:left w:w="0" w:type="dxa"/>
            <w:bottom w:w="0" w:type="dxa"/>
            <w:right w:w="0" w:type="dxa"/>
          </w:tblCellMar>
        </w:tblPrEx>
        <w:trPr>
          <w:trHeight w:val="63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序号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获奖项目名称</w:t>
            </w:r>
          </w:p>
        </w:tc>
        <w:tc>
          <w:tcPr>
            <w:tcW w:w="8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参赛学生</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指导教师</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奖励授予单位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获奖等级</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ascii="仿宋" w:hAnsi="仿宋" w:eastAsia="仿宋" w:cs="宋体"/>
                <w:b/>
                <w:sz w:val="20"/>
              </w:rPr>
            </w:pPr>
            <w:r>
              <w:rPr>
                <w:rFonts w:hint="eastAsia" w:ascii="仿宋" w:hAnsi="仿宋" w:eastAsia="仿宋" w:cs="宋体"/>
                <w:b/>
                <w:kern w:val="0"/>
                <w:sz w:val="20"/>
                <w:lang w:bidi="ar"/>
              </w:rPr>
              <w:t>获奖时间</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default" w:ascii="仿宋" w:hAnsi="仿宋" w:eastAsia="仿宋" w:cs="宋体"/>
                <w:b/>
                <w:kern w:val="0"/>
                <w:sz w:val="20"/>
                <w:lang w:val="en-US" w:eastAsia="zh-CN" w:bidi="ar"/>
              </w:rPr>
            </w:pPr>
            <w:r>
              <w:rPr>
                <w:rFonts w:hint="eastAsia" w:ascii="仿宋" w:hAnsi="仿宋" w:eastAsia="仿宋" w:cs="宋体"/>
                <w:b/>
                <w:kern w:val="0"/>
                <w:sz w:val="20"/>
                <w:lang w:val="en-US" w:eastAsia="zh-CN" w:bidi="ar"/>
              </w:rPr>
              <w:t>备注</w:t>
            </w:r>
          </w:p>
        </w:tc>
      </w:tr>
      <w:tr>
        <w:tblPrEx>
          <w:tblCellMar>
            <w:top w:w="0" w:type="dxa"/>
            <w:left w:w="0" w:type="dxa"/>
            <w:bottom w:w="0" w:type="dxa"/>
            <w:right w:w="0" w:type="dxa"/>
          </w:tblCellMar>
        </w:tblPrEx>
        <w:trPr>
          <w:trHeight w:val="108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bidi="ar"/>
              </w:rPr>
            </w:pPr>
            <w:r>
              <w:rPr>
                <w:rFonts w:hint="eastAsia" w:ascii="仿宋" w:hAnsi="仿宋" w:eastAsia="仿宋" w:cs="宋体"/>
                <w:kern w:val="0"/>
                <w:sz w:val="20"/>
                <w:lang w:bidi="ar"/>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正大杯第十二届全国大学生市场调查与分析大赛湖南赛区研究生选拔赛</w:t>
            </w:r>
          </w:p>
        </w:tc>
        <w:tc>
          <w:tcPr>
            <w:tcW w:w="8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邱玉、文静、张婧婷、黄丽、李仕玉</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张琰飞</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中国商业统计学会、全国大学生市场调查与分析大赛组委会</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二等奖</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default" w:ascii="仿宋" w:hAnsi="仿宋" w:eastAsia="仿宋" w:cs="宋体"/>
                <w:kern w:val="0"/>
                <w:sz w:val="20"/>
                <w:lang w:val="en-US" w:eastAsia="zh-CN" w:bidi="ar"/>
              </w:rPr>
            </w:pPr>
            <w:r>
              <w:rPr>
                <w:rFonts w:hint="eastAsia" w:ascii="仿宋" w:hAnsi="仿宋" w:eastAsia="仿宋" w:cs="宋体"/>
                <w:kern w:val="0"/>
                <w:sz w:val="20"/>
                <w:lang w:val="en-US" w:eastAsia="zh-CN" w:bidi="ar"/>
              </w:rPr>
              <w:t>2022.4</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团体</w:t>
            </w:r>
          </w:p>
        </w:tc>
      </w:tr>
      <w:tr>
        <w:tblPrEx>
          <w:tblCellMar>
            <w:top w:w="0" w:type="dxa"/>
            <w:left w:w="0" w:type="dxa"/>
            <w:bottom w:w="0" w:type="dxa"/>
            <w:right w:w="0" w:type="dxa"/>
          </w:tblCellMar>
        </w:tblPrEx>
        <w:trPr>
          <w:trHeight w:val="84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bidi="ar"/>
              </w:rPr>
            </w:pPr>
            <w:r>
              <w:rPr>
                <w:rFonts w:hint="eastAsia" w:ascii="仿宋" w:hAnsi="仿宋" w:eastAsia="仿宋" w:cs="宋体"/>
                <w:kern w:val="0"/>
                <w:sz w:val="20"/>
                <w:lang w:bidi="ar"/>
              </w:rPr>
              <w:t>2</w:t>
            </w:r>
          </w:p>
        </w:tc>
        <w:tc>
          <w:tcPr>
            <w:tcW w:w="1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第七届湖南省高校MBA 企业案例大赛</w:t>
            </w:r>
          </w:p>
        </w:tc>
        <w:tc>
          <w:tcPr>
            <w:tcW w:w="8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岳佳璇、郭潇姣、张亚婷、程慧慧、谈群、刘贤、龚涵涛、张婷婷、万航</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于正东、李湘玲</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湖南省教育厅</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二等奖</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2022.6</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团体</w:t>
            </w:r>
          </w:p>
        </w:tc>
      </w:tr>
      <w:tr>
        <w:tblPrEx>
          <w:tblCellMar>
            <w:top w:w="0" w:type="dxa"/>
            <w:left w:w="0" w:type="dxa"/>
            <w:bottom w:w="0" w:type="dxa"/>
            <w:right w:w="0" w:type="dxa"/>
          </w:tblCellMar>
        </w:tblPrEx>
        <w:trPr>
          <w:trHeight w:val="1175"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3</w:t>
            </w:r>
          </w:p>
        </w:tc>
        <w:tc>
          <w:tcPr>
            <w:tcW w:w="1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2022年全国高校商业精英挑战赛“精创教育杯”</w:t>
            </w:r>
          </w:p>
        </w:tc>
        <w:tc>
          <w:tcPr>
            <w:tcW w:w="8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郭彦、谈群、刘付颖</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蒋辉、欧阳胜</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中国国际贸易促进委员会商业行业委员会、</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三等奖</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default" w:ascii="仿宋" w:hAnsi="仿宋" w:eastAsia="仿宋" w:cs="宋体"/>
                <w:kern w:val="0"/>
                <w:sz w:val="20"/>
                <w:lang w:val="en-US" w:eastAsia="zh-CN" w:bidi="ar"/>
              </w:rPr>
            </w:pPr>
            <w:r>
              <w:rPr>
                <w:rFonts w:hint="eastAsia" w:ascii="仿宋" w:hAnsi="仿宋" w:eastAsia="仿宋" w:cs="宋体"/>
                <w:kern w:val="0"/>
                <w:sz w:val="20"/>
                <w:lang w:val="en-US" w:eastAsia="zh-CN" w:bidi="ar"/>
              </w:rPr>
              <w:t>2022.10</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团体</w:t>
            </w:r>
          </w:p>
        </w:tc>
      </w:tr>
      <w:tr>
        <w:tblPrEx>
          <w:tblCellMar>
            <w:top w:w="0" w:type="dxa"/>
            <w:left w:w="0" w:type="dxa"/>
            <w:bottom w:w="0" w:type="dxa"/>
            <w:right w:w="0" w:type="dxa"/>
          </w:tblCellMar>
        </w:tblPrEx>
        <w:trPr>
          <w:trHeight w:val="84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4</w:t>
            </w:r>
          </w:p>
        </w:tc>
        <w:tc>
          <w:tcPr>
            <w:tcW w:w="1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第二届湖南省研究生金融案例分析大赛</w:t>
            </w:r>
          </w:p>
        </w:tc>
        <w:tc>
          <w:tcPr>
            <w:tcW w:w="8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程意栋、夏涛、龚涵涛、岳佳璇、冯美珠</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于正东、龙海军</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湖南省教育厅</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二等奖</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default" w:ascii="仿宋" w:hAnsi="仿宋" w:eastAsia="仿宋" w:cs="宋体"/>
                <w:kern w:val="0"/>
                <w:sz w:val="20"/>
                <w:lang w:val="en-US" w:eastAsia="zh-CN" w:bidi="ar"/>
              </w:rPr>
            </w:pPr>
            <w:r>
              <w:rPr>
                <w:rFonts w:hint="eastAsia" w:ascii="仿宋" w:hAnsi="仿宋" w:eastAsia="仿宋" w:cs="宋体"/>
                <w:kern w:val="0"/>
                <w:sz w:val="20"/>
                <w:lang w:val="en-US" w:eastAsia="zh-CN" w:bidi="ar"/>
              </w:rPr>
              <w:t>2022.12</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团体</w:t>
            </w:r>
          </w:p>
        </w:tc>
      </w:tr>
      <w:tr>
        <w:tblPrEx>
          <w:tblCellMar>
            <w:top w:w="0" w:type="dxa"/>
            <w:left w:w="0" w:type="dxa"/>
            <w:bottom w:w="0" w:type="dxa"/>
            <w:right w:w="0" w:type="dxa"/>
          </w:tblCellMar>
        </w:tblPrEx>
        <w:trPr>
          <w:trHeight w:val="84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5</w:t>
            </w:r>
          </w:p>
        </w:tc>
        <w:tc>
          <w:tcPr>
            <w:tcW w:w="11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第二届湖南省研究生金融案例分析大赛</w:t>
            </w:r>
          </w:p>
        </w:tc>
        <w:tc>
          <w:tcPr>
            <w:tcW w:w="8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谢抒涵、刘倩、吴保林、刘恒宇、李鑫雯</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张琰飞、朱海英</w:t>
            </w:r>
          </w:p>
        </w:tc>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湖南省教育厅</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二等奖</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default" w:ascii="仿宋" w:hAnsi="仿宋" w:eastAsia="仿宋" w:cs="宋体"/>
                <w:kern w:val="0"/>
                <w:sz w:val="20"/>
                <w:lang w:val="en-US" w:eastAsia="zh-CN" w:bidi="ar"/>
              </w:rPr>
            </w:pPr>
            <w:r>
              <w:rPr>
                <w:rFonts w:hint="eastAsia" w:ascii="仿宋" w:hAnsi="仿宋" w:eastAsia="仿宋" w:cs="宋体"/>
                <w:kern w:val="0"/>
                <w:sz w:val="20"/>
                <w:lang w:val="en-US" w:eastAsia="zh-CN" w:bidi="ar"/>
              </w:rPr>
              <w:t>2022.12</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hint="eastAsia" w:ascii="仿宋" w:hAnsi="仿宋" w:eastAsia="仿宋" w:cs="宋体"/>
                <w:kern w:val="0"/>
                <w:sz w:val="20"/>
                <w:lang w:val="en-US" w:eastAsia="zh-CN" w:bidi="ar"/>
              </w:rPr>
            </w:pPr>
            <w:r>
              <w:rPr>
                <w:rFonts w:hint="eastAsia" w:ascii="仿宋" w:hAnsi="仿宋" w:eastAsia="仿宋" w:cs="宋体"/>
                <w:kern w:val="0"/>
                <w:sz w:val="20"/>
                <w:lang w:val="en-US" w:eastAsia="zh-CN" w:bidi="ar"/>
              </w:rPr>
              <w:t>团体</w:t>
            </w:r>
          </w:p>
        </w:tc>
      </w:tr>
    </w:tbl>
    <w:p>
      <w:pPr>
        <w:pStyle w:val="7"/>
        <w:tabs>
          <w:tab w:val="left" w:pos="8280"/>
        </w:tabs>
        <w:snapToGrid w:val="0"/>
        <w:spacing w:after="0" w:line="360" w:lineRule="auto"/>
        <w:ind w:right="26" w:firstLine="588" w:firstLineChars="200"/>
        <w:rPr>
          <w:rFonts w:ascii="仿宋" w:hAnsi="仿宋" w:eastAsia="仿宋"/>
          <w:spacing w:val="-7"/>
          <w:w w:val="110"/>
          <w:sz w:val="28"/>
          <w:szCs w:val="28"/>
        </w:rPr>
      </w:pPr>
    </w:p>
    <w:p>
      <w:pPr>
        <w:pStyle w:val="5"/>
        <w:snapToGrid w:val="0"/>
        <w:spacing w:before="0" w:after="0" w:line="360" w:lineRule="auto"/>
        <w:rPr>
          <w:rFonts w:ascii="黑体" w:hAnsi="黑体" w:eastAsia="黑体"/>
          <w:b w:val="0"/>
          <w:bCs w:val="0"/>
        </w:rPr>
      </w:pPr>
      <w:bookmarkStart w:id="13" w:name="_Toc92457811"/>
      <w:r>
        <w:rPr>
          <w:rFonts w:hint="eastAsia" w:ascii="黑体" w:hAnsi="黑体" w:eastAsia="黑体"/>
          <w:b w:val="0"/>
          <w:bCs w:val="0"/>
        </w:rPr>
        <w:t>三、研究生培养相关制度及执行情况</w:t>
      </w:r>
      <w:bookmarkEnd w:id="13"/>
    </w:p>
    <w:p>
      <w:pPr>
        <w:pStyle w:val="6"/>
        <w:snapToGrid w:val="0"/>
        <w:spacing w:before="0" w:after="0" w:line="360" w:lineRule="auto"/>
        <w:ind w:firstLine="618" w:firstLineChars="200"/>
        <w:rPr>
          <w:rFonts w:ascii="仿宋" w:hAnsi="仿宋" w:eastAsia="仿宋"/>
          <w:w w:val="110"/>
          <w:sz w:val="28"/>
          <w:szCs w:val="28"/>
        </w:rPr>
      </w:pPr>
      <w:bookmarkStart w:id="14" w:name="_Toc92457812"/>
      <w:r>
        <w:rPr>
          <w:rFonts w:hint="eastAsia" w:ascii="仿宋" w:hAnsi="仿宋" w:eastAsia="仿宋"/>
          <w:w w:val="110"/>
          <w:sz w:val="28"/>
          <w:szCs w:val="28"/>
        </w:rPr>
        <w:t>1</w:t>
      </w:r>
      <w:r>
        <w:rPr>
          <w:rFonts w:ascii="仿宋" w:hAnsi="仿宋" w:eastAsia="仿宋"/>
          <w:w w:val="110"/>
          <w:sz w:val="28"/>
          <w:szCs w:val="28"/>
        </w:rPr>
        <w:t xml:space="preserve">. </w:t>
      </w:r>
      <w:r>
        <w:rPr>
          <w:rFonts w:hint="eastAsia" w:ascii="仿宋" w:hAnsi="仿宋" w:eastAsia="仿宋"/>
          <w:w w:val="110"/>
          <w:sz w:val="28"/>
          <w:szCs w:val="28"/>
        </w:rPr>
        <w:t>课程建设与实施情况</w:t>
      </w:r>
      <w:bookmarkEnd w:id="14"/>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每门课程都有适合各学科的研究生教材、教案及讲义，相关课程运用多媒体教学制定了课件。导师队伍将出版的《区域经济协同发展研究》《民族地区农产品市场创新建设与民族贸易发展研究》《民族地区保险企业竞争战略研究》《基于产业集群的旅游产业结构升级优化研究》《旅游产业前沿问题研究》等10余部专著应用于研究生教学和科研，充当教材或教参。针对应用经济、工商管理学科的科研需要，在202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级的课程设置中继续设置了2门方法类课程《ARCGIS技术与应用》和《计量经济学软件的应用》，为研究生论文的写作奠定扎实的方法论基础。本年度丁建军教授负责的“区域减贫与发展”导师团队推荐参评湖南省第二届优秀研究生导师团队，《区域经济学》课程推荐出省参评国家一流本科课程。</w:t>
      </w:r>
    </w:p>
    <w:p>
      <w:pPr>
        <w:pStyle w:val="6"/>
        <w:snapToGrid w:val="0"/>
        <w:spacing w:before="0" w:after="0" w:line="360" w:lineRule="auto"/>
        <w:ind w:firstLine="618" w:firstLineChars="200"/>
        <w:rPr>
          <w:rFonts w:ascii="仿宋" w:hAnsi="仿宋" w:eastAsia="仿宋"/>
          <w:w w:val="110"/>
          <w:sz w:val="28"/>
          <w:szCs w:val="28"/>
        </w:rPr>
      </w:pPr>
      <w:bookmarkStart w:id="15" w:name="_Toc92457813"/>
      <w:r>
        <w:rPr>
          <w:rFonts w:ascii="仿宋" w:hAnsi="仿宋" w:eastAsia="仿宋"/>
          <w:w w:val="110"/>
          <w:sz w:val="28"/>
          <w:szCs w:val="28"/>
        </w:rPr>
        <w:t xml:space="preserve">2. </w:t>
      </w:r>
      <w:r>
        <w:rPr>
          <w:rFonts w:hint="eastAsia" w:ascii="仿宋" w:hAnsi="仿宋" w:eastAsia="仿宋"/>
          <w:w w:val="110"/>
          <w:sz w:val="28"/>
          <w:szCs w:val="28"/>
        </w:rPr>
        <w:t>导师</w:t>
      </w:r>
      <w:r>
        <w:rPr>
          <w:rFonts w:hint="eastAsia" w:ascii="仿宋" w:hAnsi="仿宋" w:eastAsia="仿宋"/>
          <w:sz w:val="28"/>
          <w:szCs w:val="28"/>
        </w:rPr>
        <w:t>选拔</w:t>
      </w:r>
      <w:r>
        <w:rPr>
          <w:rFonts w:hint="eastAsia" w:ascii="仿宋" w:hAnsi="仿宋" w:eastAsia="仿宋"/>
          <w:w w:val="110"/>
          <w:sz w:val="28"/>
          <w:szCs w:val="28"/>
        </w:rPr>
        <w:t>与培训情况</w:t>
      </w:r>
      <w:bookmarkEnd w:id="15"/>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本年度学位点按照研究生导师的立德树人职责及三全育人标准对导师展开培训。本年度学位点共有于正东、魏风劲等6位老师通过了高校教师课程思政教学能力培训，并取得结业证书，并派李峰老师参加了教育部举办的“科学规范导师指导行为、建设一流研究生导师队伍”专题网络培训，并顺利结业。</w:t>
      </w:r>
    </w:p>
    <w:p>
      <w:pPr>
        <w:pStyle w:val="6"/>
        <w:snapToGrid w:val="0"/>
        <w:spacing w:before="0" w:after="0" w:line="360" w:lineRule="auto"/>
        <w:ind w:firstLine="618" w:firstLineChars="200"/>
        <w:rPr>
          <w:rFonts w:ascii="仿宋" w:hAnsi="仿宋" w:eastAsia="仿宋"/>
          <w:w w:val="110"/>
          <w:sz w:val="28"/>
          <w:szCs w:val="28"/>
        </w:rPr>
      </w:pPr>
      <w:bookmarkStart w:id="16" w:name="_Toc92457814"/>
      <w:r>
        <w:rPr>
          <w:rFonts w:ascii="仿宋" w:hAnsi="仿宋" w:eastAsia="仿宋"/>
          <w:w w:val="110"/>
          <w:sz w:val="28"/>
          <w:szCs w:val="28"/>
        </w:rPr>
        <w:t xml:space="preserve">3. </w:t>
      </w:r>
      <w:r>
        <w:rPr>
          <w:rFonts w:hint="eastAsia" w:ascii="仿宋" w:hAnsi="仿宋" w:eastAsia="仿宋"/>
          <w:w w:val="110"/>
          <w:sz w:val="28"/>
          <w:szCs w:val="28"/>
        </w:rPr>
        <w:t>师德师风</w:t>
      </w:r>
      <w:r>
        <w:rPr>
          <w:rFonts w:hint="eastAsia" w:ascii="仿宋" w:hAnsi="仿宋" w:eastAsia="仿宋"/>
          <w:sz w:val="28"/>
          <w:szCs w:val="28"/>
        </w:rPr>
        <w:t>建设</w:t>
      </w:r>
      <w:r>
        <w:rPr>
          <w:rFonts w:hint="eastAsia" w:ascii="仿宋" w:hAnsi="仿宋" w:eastAsia="仿宋"/>
          <w:w w:val="110"/>
          <w:sz w:val="28"/>
          <w:szCs w:val="28"/>
        </w:rPr>
        <w:t>情况</w:t>
      </w:r>
      <w:bookmarkEnd w:id="16"/>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开展导师师德师风专题培训，要求导师对照研究生导师的立德树人职责做出自我评估，整改提高，实施师德师风一票否决制，全面落实师德师风建设相关标准与政策要求。</w:t>
      </w:r>
      <w:bookmarkStart w:id="17" w:name="_Hlk92374238"/>
      <w:r>
        <w:rPr>
          <w:rFonts w:hint="eastAsia" w:ascii="仿宋" w:hAnsi="仿宋" w:eastAsia="仿宋"/>
          <w:spacing w:val="-7"/>
          <w:w w:val="110"/>
          <w:sz w:val="28"/>
          <w:szCs w:val="28"/>
        </w:rPr>
        <w:t>根据学校的相关要求，学位点认真开展了导师2</w:t>
      </w:r>
      <w:r>
        <w:rPr>
          <w:rFonts w:ascii="仿宋" w:hAnsi="仿宋" w:eastAsia="仿宋"/>
          <w:spacing w:val="-7"/>
          <w:w w:val="110"/>
          <w:sz w:val="28"/>
          <w:szCs w:val="28"/>
        </w:rPr>
        <w:t>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年度考核，明确了科研、教学和素养等各方面的综合要求：对于违反导师行为准则、考核周期内所指导学生出现学术造假或不端行为者，取消硕士研究生导师招生资格。</w:t>
      </w:r>
    </w:p>
    <w:bookmarkEnd w:id="17"/>
    <w:p>
      <w:pPr>
        <w:pStyle w:val="6"/>
        <w:snapToGrid w:val="0"/>
        <w:spacing w:before="0" w:after="0" w:line="360" w:lineRule="auto"/>
        <w:ind w:firstLine="618" w:firstLineChars="200"/>
        <w:rPr>
          <w:rFonts w:ascii="仿宋" w:hAnsi="仿宋" w:eastAsia="仿宋"/>
          <w:w w:val="110"/>
          <w:sz w:val="28"/>
          <w:szCs w:val="28"/>
        </w:rPr>
      </w:pPr>
      <w:bookmarkStart w:id="18" w:name="_Toc92457815"/>
      <w:r>
        <w:rPr>
          <w:rFonts w:hint="eastAsia" w:ascii="仿宋" w:hAnsi="仿宋" w:eastAsia="仿宋"/>
          <w:w w:val="110"/>
          <w:sz w:val="28"/>
          <w:szCs w:val="28"/>
        </w:rPr>
        <w:t>4</w:t>
      </w:r>
      <w:r>
        <w:rPr>
          <w:rFonts w:ascii="仿宋" w:hAnsi="仿宋" w:eastAsia="仿宋"/>
          <w:w w:val="110"/>
          <w:sz w:val="28"/>
          <w:szCs w:val="28"/>
        </w:rPr>
        <w:t xml:space="preserve">. </w:t>
      </w:r>
      <w:r>
        <w:rPr>
          <w:rFonts w:hint="eastAsia" w:ascii="仿宋" w:hAnsi="仿宋" w:eastAsia="仿宋"/>
          <w:sz w:val="28"/>
          <w:szCs w:val="28"/>
        </w:rPr>
        <w:t>学术</w:t>
      </w:r>
      <w:r>
        <w:rPr>
          <w:rFonts w:hint="eastAsia" w:ascii="仿宋" w:hAnsi="仿宋" w:eastAsia="仿宋"/>
          <w:w w:val="110"/>
          <w:sz w:val="28"/>
          <w:szCs w:val="28"/>
        </w:rPr>
        <w:t>训练情况</w:t>
      </w:r>
      <w:bookmarkEnd w:id="18"/>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积极开展学术报告，定期举办学术讲座，组织研究生参加省、地（市）经济学和管理学学术年会活动。学位点相关研究所和研究基地也能吸收研究生一起开展科研和学术交流活动，为研究生创造了较多的学术交流渠道。本年度共举办、承办、参加了202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年西部综合开发研究会年会</w:t>
      </w:r>
      <w:r>
        <w:rPr>
          <w:rFonts w:hint="eastAsia" w:ascii="仿宋" w:hAnsi="仿宋" w:eastAsia="仿宋"/>
          <w:spacing w:val="-7"/>
          <w:w w:val="110"/>
          <w:sz w:val="28"/>
          <w:szCs w:val="28"/>
          <w:lang w:eastAsia="zh-CN"/>
        </w:rPr>
        <w:t>、西部经济研讨会年会、乡村振兴暨武陵山区论坛、</w:t>
      </w:r>
      <w:r>
        <w:rPr>
          <w:rFonts w:hint="eastAsia" w:ascii="仿宋" w:hAnsi="仿宋" w:eastAsia="仿宋"/>
          <w:spacing w:val="-7"/>
          <w:w w:val="110"/>
          <w:sz w:val="28"/>
          <w:szCs w:val="28"/>
          <w:lang w:val="en-US" w:eastAsia="zh-CN"/>
        </w:rPr>
        <w:t>中国区域经济学会少数民族地区经济专业委员会2022年会、“正大杯”第十三届全国大学生市场调查与分析大赛线上公益培训、2022年西部综合开发研究会年会、江西农业大学第十四届“惟义”学术论坛、中南林业科技大学2022年第一届绿色发展智库论坛、第八届高校研究生财经论坛暨、湖南省外国经济学说研究会2022年会、湖南省第十五届研究生创新论坛、2022年湖南省研究生创新论坛——长江经济带高质量发展分论坛、湖南省第十五届研究生创新论坛“新时代新征程社会学与社会工作的新使命”分论坛、首届魁阁青年学者论坛。</w:t>
      </w:r>
      <w:r>
        <w:rPr>
          <w:rFonts w:hint="eastAsia" w:ascii="仿宋" w:hAnsi="仿宋" w:eastAsia="仿宋"/>
          <w:spacing w:val="-7"/>
          <w:w w:val="110"/>
          <w:sz w:val="28"/>
          <w:szCs w:val="28"/>
        </w:rPr>
        <w:t>共获学会优秀论文奖一、二、三等奖奖项共</w:t>
      </w:r>
      <w:r>
        <w:rPr>
          <w:rFonts w:hint="eastAsia" w:ascii="仿宋" w:hAnsi="仿宋" w:eastAsia="仿宋"/>
          <w:spacing w:val="-7"/>
          <w:w w:val="110"/>
          <w:sz w:val="28"/>
          <w:szCs w:val="28"/>
          <w:lang w:val="en-US" w:eastAsia="zh-CN"/>
        </w:rPr>
        <w:t>42</w:t>
      </w:r>
      <w:r>
        <w:rPr>
          <w:rFonts w:hint="eastAsia" w:ascii="仿宋" w:hAnsi="仿宋" w:eastAsia="仿宋"/>
          <w:color w:val="auto"/>
          <w:spacing w:val="-7"/>
          <w:w w:val="110"/>
          <w:sz w:val="28"/>
          <w:szCs w:val="28"/>
        </w:rPr>
        <w:t>项（表4）</w:t>
      </w:r>
      <w:r>
        <w:rPr>
          <w:rFonts w:hint="eastAsia" w:ascii="仿宋" w:hAnsi="仿宋" w:eastAsia="仿宋"/>
          <w:spacing w:val="-7"/>
          <w:w w:val="110"/>
          <w:sz w:val="28"/>
          <w:szCs w:val="28"/>
        </w:rPr>
        <w:t>。</w:t>
      </w:r>
    </w:p>
    <w:p>
      <w:pPr>
        <w:snapToGrid w:val="0"/>
        <w:spacing w:line="360" w:lineRule="auto"/>
        <w:jc w:val="center"/>
        <w:rPr>
          <w:rFonts w:hint="eastAsia" w:ascii="仿宋" w:hAnsi="仿宋" w:eastAsia="仿宋" w:cs="宋体"/>
          <w:w w:val="115"/>
          <w:sz w:val="28"/>
          <w:szCs w:val="28"/>
        </w:rPr>
      </w:pPr>
    </w:p>
    <w:p>
      <w:pPr>
        <w:snapToGrid w:val="0"/>
        <w:spacing w:line="360" w:lineRule="auto"/>
        <w:jc w:val="center"/>
        <w:rPr>
          <w:rFonts w:ascii="仿宋" w:hAnsi="仿宋" w:eastAsia="仿宋" w:cs="宋体"/>
          <w:w w:val="115"/>
          <w:sz w:val="28"/>
          <w:szCs w:val="28"/>
        </w:rPr>
      </w:pPr>
      <w:r>
        <w:rPr>
          <w:rFonts w:hint="eastAsia" w:ascii="仿宋" w:hAnsi="仿宋" w:eastAsia="仿宋" w:cs="宋体"/>
          <w:w w:val="115"/>
          <w:sz w:val="28"/>
          <w:szCs w:val="28"/>
        </w:rPr>
        <w:t>表4</w:t>
      </w:r>
      <w:r>
        <w:rPr>
          <w:rFonts w:ascii="仿宋" w:hAnsi="仿宋" w:eastAsia="仿宋" w:cs="宋体"/>
          <w:w w:val="115"/>
          <w:sz w:val="28"/>
          <w:szCs w:val="28"/>
        </w:rPr>
        <w:t xml:space="preserve"> </w:t>
      </w:r>
      <w:r>
        <w:rPr>
          <w:rFonts w:hint="eastAsia" w:ascii="仿宋" w:hAnsi="仿宋" w:eastAsia="仿宋" w:cs="宋体"/>
          <w:w w:val="115"/>
          <w:sz w:val="28"/>
          <w:szCs w:val="28"/>
        </w:rPr>
        <w:t>202</w:t>
      </w:r>
      <w:r>
        <w:rPr>
          <w:rFonts w:hint="eastAsia" w:ascii="仿宋" w:hAnsi="仿宋" w:eastAsia="仿宋" w:cs="宋体"/>
          <w:w w:val="115"/>
          <w:sz w:val="28"/>
          <w:szCs w:val="28"/>
          <w:lang w:val="en-US" w:eastAsia="zh-CN"/>
        </w:rPr>
        <w:t>2</w:t>
      </w:r>
      <w:r>
        <w:rPr>
          <w:rFonts w:hint="eastAsia" w:ascii="仿宋" w:hAnsi="仿宋" w:eastAsia="仿宋" w:cs="宋体"/>
          <w:w w:val="115"/>
          <w:sz w:val="28"/>
          <w:szCs w:val="28"/>
        </w:rPr>
        <w:t>年学会论文获奖统计表（部分）</w:t>
      </w: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4119"/>
        <w:gridCol w:w="102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9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41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奖励名称</w:t>
            </w:r>
          </w:p>
        </w:tc>
        <w:tc>
          <w:tcPr>
            <w:tcW w:w="10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获奖时间</w:t>
            </w:r>
          </w:p>
        </w:tc>
        <w:tc>
          <w:tcPr>
            <w:tcW w:w="21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19" w:name="_Toc92457816"/>
            <w:r>
              <w:rPr>
                <w:rFonts w:hint="eastAsia" w:ascii="宋体" w:hAnsi="宋体" w:eastAsia="宋体" w:cs="宋体"/>
                <w:i w:val="0"/>
                <w:iCs w:val="0"/>
                <w:color w:val="000000"/>
                <w:kern w:val="0"/>
                <w:sz w:val="22"/>
                <w:szCs w:val="22"/>
                <w:u w:val="none"/>
                <w:lang w:val="en-US" w:eastAsia="zh-CN" w:bidi="ar"/>
              </w:rPr>
              <w:t>郑乐伟</w:t>
            </w:r>
          </w:p>
        </w:tc>
        <w:tc>
          <w:tcPr>
            <w:tcW w:w="41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江西农业大学第十四届“惟义”学术论坛征文比赛优秀论文奖</w:t>
            </w:r>
          </w:p>
        </w:tc>
        <w:tc>
          <w:tcPr>
            <w:tcW w:w="10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2022.06</w:t>
            </w:r>
          </w:p>
        </w:tc>
        <w:tc>
          <w:tcPr>
            <w:tcW w:w="21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江西农业大学研究生院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郑乐伟</w:t>
            </w:r>
          </w:p>
        </w:tc>
        <w:tc>
          <w:tcPr>
            <w:tcW w:w="41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中南林业科技大学2022年第一届绿色发展智库论坛征文三等奖</w:t>
            </w:r>
          </w:p>
        </w:tc>
        <w:tc>
          <w:tcPr>
            <w:tcW w:w="10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2022.09</w:t>
            </w:r>
          </w:p>
        </w:tc>
        <w:tc>
          <w:tcPr>
            <w:tcW w:w="21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黄珍杰</w:t>
            </w:r>
          </w:p>
        </w:tc>
        <w:tc>
          <w:tcPr>
            <w:tcW w:w="41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中南林业科技大学2022年第一届绿色发展智库论坛征文三等奖</w:t>
            </w:r>
          </w:p>
        </w:tc>
        <w:tc>
          <w:tcPr>
            <w:tcW w:w="10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2022.09</w:t>
            </w:r>
          </w:p>
        </w:tc>
        <w:tc>
          <w:tcPr>
            <w:tcW w:w="21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 湖南绿色发展研究院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黄珍杰</w:t>
            </w:r>
          </w:p>
        </w:tc>
        <w:tc>
          <w:tcPr>
            <w:tcW w:w="41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湖南省西部综合开发研究会年会论文评选三等奖</w:t>
            </w:r>
          </w:p>
        </w:tc>
        <w:tc>
          <w:tcPr>
            <w:tcW w:w="10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  湖南省社会科学界联合会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姚爽</w:t>
            </w:r>
          </w:p>
        </w:tc>
        <w:tc>
          <w:tcPr>
            <w:tcW w:w="41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湖南省西部综合开发研究会论文评选二等奖</w:t>
            </w:r>
          </w:p>
        </w:tc>
        <w:tc>
          <w:tcPr>
            <w:tcW w:w="10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  湖南省社会科学界联合会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姚爽</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中南林业科技大学2022年第一届绿色发展智库论坛征文三等奖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2022.09</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 湖南绿色发展研究院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第二届山东城市发展论坛三等奖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山东省城市经济学会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中南林业科技大学2022年第一届绿色发展智库论坛征文三等奖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2022.09</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中南林业科技大学 湖南绿色发展研究院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第八届高校研究生财经论坛暨2022年江苏省研究生学术创新论坛优胜奖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南京审计大学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夏涛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湖南省外国经济学说研究会2022年会优秀论文一等奖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夏涛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湖南省西部综合开发研究会2022年会优秀论文二等奖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夏涛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中国区域经济学会少数民族地区经济专业委员会2022年会优秀奖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周传辉</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周传辉</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湖南省第十五届研究生创新论坛二等奖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周传辉</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周传辉</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中国区域经济学会少数民族地区经济专业委员会2022年会优秀奖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万航</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湖南省第十五届研究生创新论坛一等奖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万航</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湖南省外国经济学说研究会2022年会优秀论文一等奖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万航</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胡定国</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2022年湖南省研究生创新论坛——长江经济带高质量发展分论坛一等奖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胡定国</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191919"/>
                <w:kern w:val="2"/>
                <w:sz w:val="22"/>
                <w:szCs w:val="22"/>
                <w:u w:val="none"/>
                <w:lang w:val="en-US" w:eastAsia="zh-CN" w:bidi="ar-SA"/>
              </w:rPr>
            </w:pPr>
            <w:r>
              <w:rPr>
                <w:rFonts w:hint="eastAsia" w:ascii="宋体" w:hAnsi="宋体" w:eastAsia="宋体" w:cs="宋体"/>
                <w:i w:val="0"/>
                <w:iCs w:val="0"/>
                <w:color w:val="191919"/>
                <w:kern w:val="0"/>
                <w:sz w:val="22"/>
                <w:szCs w:val="22"/>
                <w:u w:val="none"/>
                <w:lang w:val="en-US" w:eastAsia="zh-CN" w:bidi="ar"/>
              </w:rPr>
              <w:t>湖南省第十五届研究生创新论坛暨长沙理工大学第十八届博力学术论坛—“经济高质量发展与管理创新”专题论坛二等奖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胡定国</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董梁</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191919"/>
                <w:kern w:val="2"/>
                <w:sz w:val="22"/>
                <w:szCs w:val="22"/>
                <w:u w:val="none"/>
                <w:lang w:val="en-US" w:eastAsia="zh-CN" w:bidi="ar-SA"/>
              </w:rPr>
            </w:pPr>
            <w:r>
              <w:rPr>
                <w:rFonts w:hint="eastAsia" w:ascii="宋体" w:hAnsi="宋体" w:eastAsia="宋体" w:cs="宋体"/>
                <w:i w:val="0"/>
                <w:iCs w:val="0"/>
                <w:color w:val="191919"/>
                <w:kern w:val="0"/>
                <w:sz w:val="22"/>
                <w:szCs w:val="22"/>
                <w:u w:val="none"/>
                <w:lang w:val="en-US" w:eastAsia="zh-CN" w:bidi="ar"/>
              </w:rPr>
              <w:t>湖南省第十五届研究生创新论坛“新时代新征程社会学与社会工作的新使命”分论坛二等奖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董梁</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华侨大学第六届公共管理研究生学术论坛一等奖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华侨大学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董梁</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湖南省西部综合开发研究会2022年年会优秀论文三等奖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丁美华</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湖南省西部综合开发研究会2022年会优秀论文二等奖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丁美华</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湖省西部综合开发研究会2022年会优秀论文三等奖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龚涵涛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湖南省第十五届研究生创新论坛三等奖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李玲</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湖南省第十五届研究生创新论坛三等奖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谈群</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湖南省第十五届研究生创新论坛二等奖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湖南省人民政府学位委员会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郝明瑶</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湖南省西部综合开发研究会2022年会优秀论文三等奖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陈瑶</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湖南省西部综合开发研究会2022年会优秀论文三等奖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陈瑶</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湖南省西部综合开发研究会2022年会优秀论文二等奖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李怡环</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湖南省西部综合开发研究会2022年年会优秀论文</w:t>
            </w:r>
          </w:p>
        </w:tc>
        <w:tc>
          <w:tcPr>
            <w:tcW w:w="1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w:t>
            </w:r>
            <w:r>
              <w:rPr>
                <w:rFonts w:hint="eastAsia" w:ascii="宋体" w:hAnsi="宋体" w:cs="宋体"/>
                <w:i w:val="0"/>
                <w:iCs w:val="0"/>
                <w:color w:val="000000"/>
                <w:kern w:val="0"/>
                <w:sz w:val="22"/>
                <w:szCs w:val="22"/>
                <w:u w:val="none"/>
                <w:lang w:val="en-US" w:eastAsia="zh-CN" w:bidi="ar"/>
              </w:rPr>
              <w:t>.11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湖南省社会科学界联合会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黄世瑛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湖南省西部综合开发研究会2022年年会优秀论文</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湖南省社会科学界联合会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曹务腾</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湖南省西部综合开发研究会2022年年会优秀论文</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张舒阳</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湖南省外国经济学说研究会2022年年会暨理论研讨会论文评选一等奖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张舒阳</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2022年中国区域经济学会少数民族地区经济专业委员会年会论文评选二等奖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湖南省外国经济学说研究会2022年年会暨理论研讨会论文评选二等奖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王国涛</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2022年中国区域经济学会少数民族地区经济专业委员会年会论文评选三等奖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万佳怡</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2022年中国区域经济学会少数民族地区经济专业委员会年会论文评选优秀奖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中国区域经济学会少数民族地区经济专业委员会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万佳怡</w:t>
            </w:r>
          </w:p>
        </w:tc>
        <w:tc>
          <w:tcPr>
            <w:tcW w:w="411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湖南省外国经济学说研究会2022年年会暨理论研讨会论文评选一等奖</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c>
          <w:tcPr>
            <w:tcW w:w="213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湖南省外国经济学说研究会</w:t>
            </w:r>
          </w:p>
        </w:tc>
      </w:tr>
    </w:tbl>
    <w:p>
      <w:pPr>
        <w:snapToGrid w:val="0"/>
        <w:spacing w:line="360" w:lineRule="auto"/>
        <w:ind w:firstLine="616" w:firstLineChars="200"/>
        <w:jc w:val="left"/>
        <w:rPr>
          <w:rFonts w:ascii="仿宋" w:hAnsi="仿宋" w:eastAsia="仿宋"/>
          <w:w w:val="110"/>
          <w:sz w:val="28"/>
          <w:szCs w:val="28"/>
        </w:rPr>
      </w:pPr>
    </w:p>
    <w:p>
      <w:pPr>
        <w:pStyle w:val="6"/>
        <w:snapToGrid w:val="0"/>
        <w:spacing w:before="0" w:after="0" w:line="360" w:lineRule="auto"/>
        <w:ind w:firstLine="618" w:firstLineChars="200"/>
        <w:rPr>
          <w:rFonts w:ascii="仿宋" w:hAnsi="仿宋" w:eastAsia="仿宋"/>
          <w:w w:val="110"/>
          <w:sz w:val="28"/>
          <w:szCs w:val="28"/>
        </w:rPr>
      </w:pPr>
      <w:r>
        <w:rPr>
          <w:rFonts w:ascii="仿宋" w:hAnsi="仿宋" w:eastAsia="仿宋"/>
          <w:w w:val="110"/>
          <w:sz w:val="28"/>
          <w:szCs w:val="28"/>
        </w:rPr>
        <w:t xml:space="preserve">5. </w:t>
      </w:r>
      <w:r>
        <w:rPr>
          <w:rFonts w:hint="eastAsia" w:ascii="仿宋" w:hAnsi="仿宋" w:eastAsia="仿宋"/>
          <w:w w:val="110"/>
          <w:sz w:val="28"/>
          <w:szCs w:val="28"/>
        </w:rPr>
        <w:t>学术</w:t>
      </w:r>
      <w:r>
        <w:rPr>
          <w:rFonts w:hint="eastAsia" w:ascii="仿宋" w:hAnsi="仿宋" w:eastAsia="仿宋"/>
          <w:sz w:val="28"/>
          <w:szCs w:val="28"/>
        </w:rPr>
        <w:t>交流</w:t>
      </w:r>
      <w:r>
        <w:rPr>
          <w:rFonts w:hint="eastAsia" w:ascii="仿宋" w:hAnsi="仿宋" w:eastAsia="仿宋"/>
          <w:w w:val="110"/>
          <w:sz w:val="28"/>
          <w:szCs w:val="28"/>
        </w:rPr>
        <w:t>情况</w:t>
      </w:r>
      <w:bookmarkEnd w:id="19"/>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每月利用周末的时间定期为研究生举办“风雨湖大讲堂”，由学位点的外聘专家、本校教授、具有博士学位（或博士在读）的青年教师主要讲授，研究生们踊跃发言，其他老师点评或补充，每堂至少有3-4名具有博士学位或在读的博士教师到场参与点评，研究生参与热情很高，202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年一共进行了</w:t>
      </w:r>
      <w:r>
        <w:rPr>
          <w:rFonts w:hint="eastAsia" w:ascii="仿宋" w:hAnsi="仿宋" w:eastAsia="仿宋"/>
          <w:spacing w:val="-7"/>
          <w:w w:val="110"/>
          <w:sz w:val="28"/>
          <w:szCs w:val="28"/>
          <w:lang w:val="en-US" w:eastAsia="zh-CN"/>
        </w:rPr>
        <w:t>3</w:t>
      </w:r>
      <w:r>
        <w:rPr>
          <w:rFonts w:hint="eastAsia" w:ascii="仿宋" w:hAnsi="仿宋" w:eastAsia="仿宋"/>
          <w:spacing w:val="-7"/>
          <w:w w:val="110"/>
          <w:sz w:val="28"/>
          <w:szCs w:val="28"/>
        </w:rPr>
        <w:t>讲，具体内容在微信公众号“研经商思”——风雨湖大讲堂内详细报导。</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除此之外，学位点举办了以研究生主讲的以每学期双周周二晚上为固定时间的研究生沙龙“齐鲁研论”，每堂之少有2-3名具有博士学位或在读博士教师到场参与点评，研究生们踊跃发言，其他老师点评或补充，具体内容通过“研经商思”微信公众号详细报道。</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学位点不仅从</w:t>
      </w:r>
      <w:r>
        <w:rPr>
          <w:rFonts w:hint="eastAsia" w:ascii="仿宋" w:hAnsi="仿宋" w:eastAsia="仿宋"/>
          <w:spacing w:val="-7"/>
          <w:w w:val="110"/>
          <w:sz w:val="28"/>
          <w:szCs w:val="28"/>
          <w:lang w:val="en-US" w:eastAsia="zh-CN"/>
        </w:rPr>
        <w:t>湖南师范</w:t>
      </w:r>
      <w:r>
        <w:rPr>
          <w:rFonts w:hint="eastAsia" w:ascii="仿宋" w:hAnsi="仿宋" w:eastAsia="仿宋"/>
          <w:spacing w:val="-7"/>
          <w:w w:val="110"/>
          <w:sz w:val="28"/>
          <w:szCs w:val="28"/>
        </w:rPr>
        <w:t>大学、</w:t>
      </w:r>
      <w:r>
        <w:rPr>
          <w:rFonts w:hint="eastAsia" w:ascii="仿宋" w:hAnsi="仿宋" w:eastAsia="仿宋"/>
          <w:spacing w:val="-7"/>
          <w:w w:val="110"/>
          <w:sz w:val="28"/>
          <w:szCs w:val="28"/>
          <w:lang w:val="en-US" w:eastAsia="zh-CN"/>
        </w:rPr>
        <w:t>宁波</w:t>
      </w:r>
      <w:r>
        <w:rPr>
          <w:rFonts w:hint="eastAsia" w:ascii="仿宋" w:hAnsi="仿宋" w:eastAsia="仿宋"/>
          <w:spacing w:val="-7"/>
          <w:w w:val="110"/>
          <w:sz w:val="28"/>
          <w:szCs w:val="28"/>
        </w:rPr>
        <w:t>大学</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西南大学</w:t>
      </w:r>
      <w:r>
        <w:rPr>
          <w:rFonts w:hint="eastAsia" w:ascii="仿宋" w:hAnsi="仿宋" w:eastAsia="仿宋"/>
          <w:spacing w:val="-7"/>
          <w:w w:val="110"/>
          <w:sz w:val="28"/>
          <w:szCs w:val="28"/>
        </w:rPr>
        <w:t>等单位聘请了大量专家来校讲学，同时创造性地定期组织学位点在读研究生与优秀毕业研究生进行行科研交流，以保证优秀学术研究方法与氛围的传承。</w:t>
      </w:r>
      <w:r>
        <w:rPr>
          <w:rFonts w:hint="eastAsia" w:ascii="仿宋" w:hAnsi="仿宋" w:eastAsia="仿宋"/>
          <w:color w:val="auto"/>
          <w:spacing w:val="-7"/>
          <w:w w:val="110"/>
          <w:sz w:val="28"/>
          <w:szCs w:val="28"/>
        </w:rPr>
        <w:t>本年年度共邀请学位点毕业研究生现同济大学博士研究生廖凯诚、中南财经政法大学博士研究生王璋、天津财经大学博士研究生张晓丹</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江西财经大学博士研究生赵阳、广东外语外贸大学江英、中南财经政法大学杨璋</w:t>
      </w:r>
      <w:r>
        <w:rPr>
          <w:rFonts w:hint="eastAsia" w:ascii="仿宋" w:hAnsi="仿宋" w:eastAsia="仿宋"/>
          <w:color w:val="auto"/>
          <w:spacing w:val="-7"/>
          <w:w w:val="110"/>
          <w:sz w:val="28"/>
          <w:szCs w:val="28"/>
        </w:rPr>
        <w:t>等优秀学生与在校学生进行学术、学习交流，以保证优秀学术研究方法与氛围的传承。</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一方面创新宣传方式，通过“研经商思”微信公众号，及时推送学术讲座信息、分享学术研究成果、争鸣学术热点、交流学术研究心得、宣传学术达人，另一方面借助学院、武陵山片区扶贫与发展协同创新中心网站平台，定期报道研究生学术沙龙动态，积极营造浓厚的学术氛围。通过一年来的努力，学位点研究生学术氛围明显提升。</w:t>
      </w:r>
    </w:p>
    <w:p>
      <w:pPr>
        <w:pStyle w:val="6"/>
        <w:snapToGrid w:val="0"/>
        <w:spacing w:before="0" w:after="0" w:line="360" w:lineRule="auto"/>
        <w:ind w:firstLine="618" w:firstLineChars="200"/>
        <w:rPr>
          <w:rFonts w:ascii="仿宋" w:hAnsi="仿宋" w:eastAsia="仿宋"/>
          <w:w w:val="110"/>
          <w:sz w:val="28"/>
          <w:szCs w:val="28"/>
        </w:rPr>
      </w:pPr>
      <w:bookmarkStart w:id="20" w:name="_Toc92457817"/>
      <w:r>
        <w:rPr>
          <w:rFonts w:ascii="仿宋" w:hAnsi="仿宋" w:eastAsia="仿宋"/>
          <w:w w:val="110"/>
          <w:sz w:val="28"/>
          <w:szCs w:val="28"/>
        </w:rPr>
        <w:t xml:space="preserve">6. </w:t>
      </w:r>
      <w:r>
        <w:rPr>
          <w:rFonts w:hint="eastAsia" w:ascii="仿宋" w:hAnsi="仿宋" w:eastAsia="仿宋"/>
          <w:w w:val="110"/>
          <w:sz w:val="28"/>
          <w:szCs w:val="28"/>
        </w:rPr>
        <w:t>研究生奖助情况</w:t>
      </w:r>
      <w:bookmarkEnd w:id="20"/>
    </w:p>
    <w:p>
      <w:pPr>
        <w:snapToGrid w:val="0"/>
        <w:spacing w:line="360" w:lineRule="auto"/>
        <w:ind w:firstLine="588" w:firstLineChars="200"/>
        <w:rPr>
          <w:rFonts w:ascii="仿宋" w:hAnsi="仿宋" w:eastAsia="仿宋"/>
          <w:color w:val="auto"/>
          <w:spacing w:val="-7"/>
          <w:w w:val="110"/>
          <w:sz w:val="28"/>
          <w:szCs w:val="28"/>
        </w:rPr>
      </w:pPr>
      <w:r>
        <w:rPr>
          <w:rFonts w:hint="eastAsia" w:ascii="仿宋" w:hAnsi="仿宋" w:eastAsia="仿宋"/>
          <w:spacing w:val="-7"/>
          <w:w w:val="110"/>
          <w:sz w:val="28"/>
          <w:szCs w:val="28"/>
        </w:rPr>
        <w:t>严格按照学校的相关规定评选研究生各类奖助学金，本年度共组织了研究生国家奖学金、学业奖学金、国家助学金，以及研究生三好学生、优秀干部、优秀学位论文等各项评奖评优工作。各项评奖评优均做到了公平、公正、公开、按程序、守时间完成。</w:t>
      </w:r>
      <w:r>
        <w:rPr>
          <w:rFonts w:hint="eastAsia" w:ascii="仿宋" w:hAnsi="仿宋" w:eastAsia="仿宋"/>
          <w:color w:val="auto"/>
          <w:spacing w:val="-7"/>
          <w:w w:val="110"/>
          <w:sz w:val="28"/>
          <w:szCs w:val="28"/>
        </w:rPr>
        <w:t>其中</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刘贤、陈少华、黄珍杰获评优秀研究生干部，李松林获评三好学生，刘贤</w:t>
      </w:r>
      <w:r>
        <w:rPr>
          <w:rFonts w:hint="eastAsia" w:ascii="仿宋" w:hAnsi="仿宋" w:eastAsia="仿宋"/>
          <w:color w:val="auto"/>
          <w:spacing w:val="-7"/>
          <w:w w:val="110"/>
          <w:sz w:val="28"/>
          <w:szCs w:val="28"/>
        </w:rPr>
        <w:t>获评国家奖学金，</w:t>
      </w:r>
      <w:r>
        <w:rPr>
          <w:rFonts w:hint="eastAsia" w:ascii="仿宋" w:hAnsi="仿宋" w:eastAsia="仿宋"/>
          <w:color w:val="auto"/>
          <w:spacing w:val="-7"/>
          <w:w w:val="110"/>
          <w:sz w:val="28"/>
          <w:szCs w:val="28"/>
          <w:lang w:val="en-US" w:eastAsia="zh-CN"/>
        </w:rPr>
        <w:t>李松林</w:t>
      </w:r>
      <w:r>
        <w:rPr>
          <w:rFonts w:hint="eastAsia" w:ascii="仿宋" w:hAnsi="仿宋" w:eastAsia="仿宋"/>
          <w:color w:val="auto"/>
          <w:spacing w:val="-7"/>
          <w:w w:val="110"/>
          <w:sz w:val="28"/>
          <w:szCs w:val="28"/>
        </w:rPr>
        <w:t>获校级优秀毕业生、创新创业优秀毕业研究生。</w:t>
      </w:r>
    </w:p>
    <w:p>
      <w:pPr>
        <w:pStyle w:val="2"/>
        <w:snapToGrid w:val="0"/>
        <w:spacing w:after="0" w:line="360" w:lineRule="auto"/>
        <w:rPr>
          <w:rFonts w:ascii="仿宋" w:hAnsi="仿宋" w:eastAsia="仿宋"/>
        </w:rPr>
      </w:pPr>
    </w:p>
    <w:p>
      <w:pPr>
        <w:pStyle w:val="5"/>
        <w:snapToGrid w:val="0"/>
        <w:spacing w:before="0" w:after="0" w:line="360" w:lineRule="auto"/>
        <w:rPr>
          <w:rFonts w:ascii="黑体" w:hAnsi="黑体" w:eastAsia="黑体"/>
          <w:b w:val="0"/>
          <w:bCs w:val="0"/>
        </w:rPr>
      </w:pPr>
      <w:bookmarkStart w:id="21" w:name="_Toc92457818"/>
      <w:r>
        <w:rPr>
          <w:rFonts w:hint="eastAsia" w:ascii="黑体" w:hAnsi="黑体" w:eastAsia="黑体"/>
          <w:b w:val="0"/>
          <w:bCs w:val="0"/>
        </w:rPr>
        <w:t>四、研究生教育改革情况</w:t>
      </w:r>
      <w:bookmarkEnd w:id="21"/>
    </w:p>
    <w:p>
      <w:pPr>
        <w:pStyle w:val="6"/>
        <w:snapToGrid w:val="0"/>
        <w:spacing w:before="0" w:after="0" w:line="360" w:lineRule="auto"/>
        <w:ind w:firstLine="618" w:firstLineChars="200"/>
        <w:rPr>
          <w:rFonts w:ascii="仿宋" w:hAnsi="仿宋" w:eastAsia="仿宋"/>
          <w:w w:val="110"/>
          <w:sz w:val="28"/>
          <w:szCs w:val="28"/>
        </w:rPr>
      </w:pPr>
      <w:bookmarkStart w:id="22" w:name="_Toc92457819"/>
      <w:r>
        <w:rPr>
          <w:rFonts w:ascii="仿宋" w:hAnsi="仿宋" w:eastAsia="仿宋"/>
          <w:w w:val="110"/>
          <w:sz w:val="28"/>
          <w:szCs w:val="28"/>
        </w:rPr>
        <w:t xml:space="preserve">1. </w:t>
      </w:r>
      <w:r>
        <w:rPr>
          <w:rFonts w:hint="eastAsia" w:ascii="仿宋" w:hAnsi="仿宋" w:eastAsia="仿宋"/>
          <w:w w:val="110"/>
          <w:sz w:val="28"/>
          <w:szCs w:val="28"/>
        </w:rPr>
        <w:t>人才</w:t>
      </w:r>
      <w:r>
        <w:rPr>
          <w:rFonts w:hint="eastAsia" w:ascii="仿宋" w:hAnsi="仿宋" w:eastAsia="仿宋"/>
          <w:sz w:val="28"/>
          <w:szCs w:val="28"/>
        </w:rPr>
        <w:t>培养</w:t>
      </w:r>
      <w:r>
        <w:rPr>
          <w:rFonts w:hint="eastAsia" w:ascii="仿宋" w:hAnsi="仿宋" w:eastAsia="仿宋"/>
          <w:w w:val="110"/>
          <w:sz w:val="28"/>
          <w:szCs w:val="28"/>
        </w:rPr>
        <w:t>情况</w:t>
      </w:r>
      <w:bookmarkEnd w:id="22"/>
    </w:p>
    <w:p>
      <w:pPr>
        <w:snapToGrid w:val="0"/>
        <w:spacing w:line="360" w:lineRule="auto"/>
        <w:ind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rPr>
        <w:t>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级研究生入学后及时召开了导师和研究生的见面会，落实每个研究生的导师，并推荐了校外导师。强化学术训练平台建设，支持导师之间组建导师组，强化学术研究和人才培养的沟通交流。</w:t>
      </w:r>
      <w:r>
        <w:rPr>
          <w:rFonts w:hint="eastAsia" w:ascii="仿宋" w:hAnsi="仿宋" w:eastAsia="仿宋"/>
          <w:color w:val="auto"/>
          <w:spacing w:val="-7"/>
          <w:w w:val="110"/>
          <w:sz w:val="28"/>
          <w:szCs w:val="28"/>
        </w:rPr>
        <w:t>本年度共新增项目1</w:t>
      </w:r>
      <w:r>
        <w:rPr>
          <w:rFonts w:hint="eastAsia" w:ascii="仿宋" w:hAnsi="仿宋" w:eastAsia="仿宋"/>
          <w:color w:val="auto"/>
          <w:spacing w:val="-7"/>
          <w:w w:val="110"/>
          <w:sz w:val="28"/>
          <w:szCs w:val="28"/>
          <w:lang w:val="en-US" w:eastAsia="zh-CN"/>
        </w:rPr>
        <w:t>3</w:t>
      </w:r>
      <w:r>
        <w:rPr>
          <w:rFonts w:hint="eastAsia" w:ascii="仿宋" w:hAnsi="仿宋" w:eastAsia="仿宋"/>
          <w:color w:val="auto"/>
          <w:spacing w:val="-7"/>
          <w:w w:val="110"/>
          <w:sz w:val="28"/>
          <w:szCs w:val="28"/>
        </w:rPr>
        <w:t>项。其中，包括是王淀坤</w:t>
      </w:r>
      <w:r>
        <w:rPr>
          <w:rFonts w:hint="eastAsia" w:ascii="仿宋" w:hAnsi="仿宋" w:eastAsia="仿宋"/>
          <w:color w:val="auto"/>
          <w:spacing w:val="-7"/>
          <w:w w:val="110"/>
          <w:sz w:val="28"/>
          <w:szCs w:val="28"/>
          <w:lang w:eastAsia="zh-CN"/>
        </w:rPr>
        <w:t>、万航、董梁、陈瑶等同学的湖南省研究生科研创新项目</w:t>
      </w:r>
      <w:r>
        <w:rPr>
          <w:rFonts w:hint="eastAsia" w:ascii="仿宋" w:hAnsi="仿宋" w:eastAsia="仿宋"/>
          <w:color w:val="auto"/>
          <w:spacing w:val="-7"/>
          <w:w w:val="110"/>
          <w:sz w:val="28"/>
          <w:szCs w:val="28"/>
          <w:lang w:val="en-US" w:eastAsia="zh-CN"/>
        </w:rPr>
        <w:t>4</w:t>
      </w:r>
      <w:r>
        <w:rPr>
          <w:rFonts w:hint="eastAsia" w:ascii="仿宋" w:hAnsi="仿宋" w:eastAsia="仿宋"/>
          <w:color w:val="auto"/>
          <w:spacing w:val="-7"/>
          <w:w w:val="110"/>
          <w:sz w:val="28"/>
          <w:szCs w:val="28"/>
          <w:lang w:eastAsia="zh-CN"/>
        </w:rPr>
        <w:t>项，</w:t>
      </w:r>
      <w:r>
        <w:rPr>
          <w:rFonts w:hint="eastAsia" w:ascii="仿宋" w:hAnsi="仿宋" w:eastAsia="仿宋"/>
          <w:color w:val="auto"/>
          <w:spacing w:val="-7"/>
          <w:w w:val="110"/>
          <w:sz w:val="28"/>
          <w:szCs w:val="28"/>
          <w:lang w:val="en-US" w:eastAsia="zh-CN"/>
        </w:rPr>
        <w:t>夏涛、李莉玲、郭慧、李玲、李怡环、刘恒宇、王国涛、曹务腾、吴宏儒等同学的吉首大学校级科学研究项目9项</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表5</w:t>
      </w:r>
      <w:r>
        <w:rPr>
          <w:rFonts w:hint="eastAsia" w:ascii="仿宋" w:hAnsi="仿宋" w:eastAsia="仿宋"/>
          <w:spacing w:val="-7"/>
          <w:w w:val="110"/>
          <w:sz w:val="28"/>
          <w:szCs w:val="28"/>
          <w:lang w:eastAsia="zh-CN"/>
        </w:rPr>
        <w:t>）</w:t>
      </w:r>
      <w:r>
        <w:rPr>
          <w:rFonts w:hint="eastAsia" w:ascii="仿宋" w:hAnsi="仿宋" w:eastAsia="仿宋"/>
          <w:color w:val="auto"/>
          <w:spacing w:val="-7"/>
          <w:w w:val="110"/>
          <w:sz w:val="28"/>
          <w:szCs w:val="28"/>
          <w:lang w:val="en-US" w:eastAsia="zh-CN"/>
        </w:rPr>
        <w:t>。</w:t>
      </w:r>
      <w:r>
        <w:rPr>
          <w:rFonts w:hint="eastAsia" w:ascii="仿宋" w:hAnsi="仿宋" w:eastAsia="仿宋"/>
          <w:spacing w:val="-7"/>
          <w:w w:val="110"/>
          <w:sz w:val="28"/>
          <w:szCs w:val="28"/>
          <w:lang w:eastAsia="zh-CN"/>
        </w:rPr>
        <w:t>202</w:t>
      </w:r>
      <w:r>
        <w:rPr>
          <w:rFonts w:hint="eastAsia" w:ascii="仿宋" w:hAnsi="仿宋" w:eastAsia="仿宋"/>
          <w:spacing w:val="-7"/>
          <w:w w:val="110"/>
          <w:sz w:val="28"/>
          <w:szCs w:val="28"/>
          <w:lang w:val="en-US" w:eastAsia="zh-CN"/>
        </w:rPr>
        <w:t>2年度本学位点</w:t>
      </w:r>
      <w:r>
        <w:rPr>
          <w:rFonts w:hint="eastAsia" w:ascii="仿宋" w:hAnsi="仿宋" w:eastAsia="仿宋"/>
          <w:spacing w:val="-7"/>
          <w:w w:val="110"/>
          <w:sz w:val="28"/>
          <w:szCs w:val="28"/>
          <w:lang w:eastAsia="zh-CN"/>
        </w:rPr>
        <w:t>研究生共发表论文2</w:t>
      </w:r>
      <w:r>
        <w:rPr>
          <w:rFonts w:hint="eastAsia" w:ascii="仿宋" w:hAnsi="仿宋" w:eastAsia="仿宋"/>
          <w:spacing w:val="-7"/>
          <w:w w:val="110"/>
          <w:sz w:val="28"/>
          <w:szCs w:val="28"/>
          <w:lang w:val="en-US" w:eastAsia="zh-CN"/>
        </w:rPr>
        <w:t>1</w:t>
      </w:r>
      <w:r>
        <w:rPr>
          <w:rFonts w:hint="eastAsia" w:ascii="仿宋" w:hAnsi="仿宋" w:eastAsia="仿宋"/>
          <w:spacing w:val="-7"/>
          <w:w w:val="110"/>
          <w:sz w:val="28"/>
          <w:szCs w:val="28"/>
          <w:lang w:eastAsia="zh-CN"/>
        </w:rPr>
        <w:t>篇（</w:t>
      </w:r>
      <w:r>
        <w:rPr>
          <w:rFonts w:hint="eastAsia" w:ascii="仿宋" w:hAnsi="仿宋" w:eastAsia="仿宋"/>
          <w:spacing w:val="-7"/>
          <w:w w:val="110"/>
          <w:sz w:val="28"/>
          <w:szCs w:val="28"/>
          <w:lang w:val="en-US" w:eastAsia="zh-CN"/>
        </w:rPr>
        <w:t>表6</w:t>
      </w:r>
      <w:r>
        <w:rPr>
          <w:rFonts w:hint="eastAsia" w:ascii="仿宋" w:hAnsi="仿宋" w:eastAsia="仿宋"/>
          <w:spacing w:val="-7"/>
          <w:w w:val="110"/>
          <w:sz w:val="28"/>
          <w:szCs w:val="28"/>
          <w:lang w:eastAsia="zh-CN"/>
        </w:rPr>
        <w:t>）。</w:t>
      </w:r>
    </w:p>
    <w:p>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毕业生</w:t>
      </w:r>
      <w:r>
        <w:rPr>
          <w:rFonts w:hint="eastAsia" w:ascii="仿宋" w:hAnsi="仿宋" w:eastAsia="仿宋"/>
          <w:spacing w:val="-7"/>
          <w:w w:val="110"/>
          <w:sz w:val="28"/>
          <w:szCs w:val="28"/>
          <w:lang w:val="en-US" w:eastAsia="zh-CN"/>
        </w:rPr>
        <w:t>85</w:t>
      </w:r>
      <w:r>
        <w:rPr>
          <w:rFonts w:hint="eastAsia" w:ascii="仿宋" w:hAnsi="仿宋" w:eastAsia="仿宋"/>
          <w:spacing w:val="-7"/>
          <w:w w:val="110"/>
          <w:sz w:val="28"/>
          <w:szCs w:val="28"/>
        </w:rPr>
        <w:t>%就业，考博士研究生</w:t>
      </w:r>
      <w:r>
        <w:rPr>
          <w:rFonts w:hint="eastAsia" w:ascii="仿宋" w:hAnsi="仿宋" w:eastAsia="仿宋"/>
          <w:spacing w:val="-7"/>
          <w:w w:val="110"/>
          <w:sz w:val="28"/>
          <w:szCs w:val="28"/>
          <w:lang w:val="en-US" w:eastAsia="zh-CN"/>
        </w:rPr>
        <w:t>1</w:t>
      </w:r>
      <w:r>
        <w:rPr>
          <w:rFonts w:hint="eastAsia" w:ascii="仿宋" w:hAnsi="仿宋" w:eastAsia="仿宋"/>
          <w:spacing w:val="-7"/>
          <w:w w:val="110"/>
          <w:sz w:val="28"/>
          <w:szCs w:val="28"/>
        </w:rPr>
        <w:t>名，</w:t>
      </w:r>
      <w:r>
        <w:rPr>
          <w:rFonts w:hint="eastAsia" w:ascii="仿宋" w:hAnsi="仿宋" w:eastAsia="仿宋"/>
          <w:spacing w:val="-7"/>
          <w:w w:val="110"/>
          <w:sz w:val="28"/>
          <w:szCs w:val="28"/>
          <w:lang w:val="en-US" w:eastAsia="zh-CN"/>
        </w:rPr>
        <w:t>党政机关3名，金融机构4名</w:t>
      </w:r>
      <w:r>
        <w:rPr>
          <w:rFonts w:hint="eastAsia" w:ascii="仿宋" w:hAnsi="仿宋" w:eastAsia="仿宋"/>
          <w:spacing w:val="-7"/>
          <w:w w:val="110"/>
          <w:sz w:val="28"/>
          <w:szCs w:val="28"/>
        </w:rPr>
        <w:t>；积极组织吉首大学第二届MBA案例大赛，组织学生参加湖南省首届组织参加金融案例大赛，实现学位点研究生参加案例大赛全覆盖。</w:t>
      </w:r>
      <w:bookmarkStart w:id="23" w:name="_Hlk92204074"/>
      <w:r>
        <w:rPr>
          <w:rFonts w:hint="eastAsia" w:ascii="仿宋" w:hAnsi="仿宋" w:eastAsia="仿宋"/>
          <w:spacing w:val="-7"/>
          <w:w w:val="110"/>
          <w:sz w:val="28"/>
          <w:szCs w:val="28"/>
        </w:rPr>
        <w:t>由国际食物政策研究所、北京大学中国农业政策研究中心、农业部食物与营养发展研究所、中国农业科学院信息所、浙江大学-IFPRI国际发展联合研究中心联合开展的"湘西学龄前儿童营养改善试点项目"评估调研在湘西州龙山县、永顺县等地进行，学位点1</w:t>
      </w:r>
      <w:r>
        <w:rPr>
          <w:rFonts w:ascii="仿宋" w:hAnsi="仿宋" w:eastAsia="仿宋"/>
          <w:spacing w:val="-7"/>
          <w:w w:val="110"/>
          <w:sz w:val="28"/>
          <w:szCs w:val="28"/>
        </w:rPr>
        <w:t>0</w:t>
      </w:r>
      <w:r>
        <w:rPr>
          <w:rFonts w:hint="eastAsia" w:ascii="仿宋" w:hAnsi="仿宋" w:eastAsia="仿宋"/>
          <w:spacing w:val="-7"/>
          <w:w w:val="110"/>
          <w:sz w:val="28"/>
          <w:szCs w:val="28"/>
        </w:rPr>
        <w:t>余名研究生参加了本次评估调研。</w:t>
      </w:r>
      <w:bookmarkEnd w:id="23"/>
    </w:p>
    <w:p>
      <w:pPr>
        <w:snapToGrid w:val="0"/>
        <w:spacing w:line="360" w:lineRule="auto"/>
        <w:jc w:val="center"/>
        <w:rPr>
          <w:rFonts w:hint="eastAsia" w:ascii="仿宋" w:hAnsi="仿宋" w:eastAsia="仿宋"/>
          <w:spacing w:val="-7"/>
          <w:w w:val="110"/>
          <w:sz w:val="28"/>
          <w:szCs w:val="28"/>
          <w:lang w:val="en-US" w:eastAsia="zh-CN"/>
        </w:rPr>
      </w:pPr>
      <w:r>
        <w:rPr>
          <w:rFonts w:hint="eastAsia" w:ascii="仿宋" w:hAnsi="仿宋" w:eastAsia="仿宋" w:cs="仿宋"/>
          <w:spacing w:val="-7"/>
          <w:w w:val="110"/>
          <w:sz w:val="24"/>
          <w:szCs w:val="24"/>
          <w:lang w:val="en-US" w:eastAsia="zh-CN"/>
        </w:rPr>
        <w:t>表5  2022年科研项目立项统计表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81"/>
        <w:gridCol w:w="1700"/>
        <w:gridCol w:w="12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2" w:hRule="atLeast"/>
          <w:jc w:val="center"/>
        </w:trPr>
        <w:tc>
          <w:tcPr>
            <w:tcW w:w="4281" w:type="dxa"/>
            <w:vAlign w:val="center"/>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项目名称</w:t>
            </w:r>
          </w:p>
        </w:tc>
        <w:tc>
          <w:tcPr>
            <w:tcW w:w="1700" w:type="dxa"/>
            <w:vAlign w:val="center"/>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项目性质</w:t>
            </w:r>
          </w:p>
        </w:tc>
        <w:tc>
          <w:tcPr>
            <w:tcW w:w="1275" w:type="dxa"/>
            <w:vAlign w:val="center"/>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起止时间</w:t>
            </w:r>
          </w:p>
        </w:tc>
        <w:tc>
          <w:tcPr>
            <w:tcW w:w="1005" w:type="dxa"/>
            <w:vAlign w:val="center"/>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高质量发展市域下中小企业空间分布特征及其影响因素研究——以长三角地区专精特新企业为例</w:t>
            </w:r>
          </w:p>
        </w:tc>
        <w:tc>
          <w:tcPr>
            <w:tcW w:w="170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湖</w:t>
            </w:r>
            <w:r>
              <w:rPr>
                <w:rFonts w:hint="default"/>
                <w:vertAlign w:val="baseline"/>
                <w:lang w:val="en-US" w:eastAsia="zh-CN"/>
              </w:rPr>
              <w:t>南省研究生科研创新项目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王淀坤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数字金融助力相对贫困治理的机制研究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湖南省研究生科研创新项目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湖南人口老龄化对经济高质量发展的影响</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湖南省研究生科研创新项目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董梁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新乡贤在共同富裕中的作用路径与典型模式研究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湖南省研究生科研创新项目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4" w:hRule="atLeast"/>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大湘西地区基本公共服务与经济发展耦合协调关系研究</w:t>
            </w:r>
          </w:p>
        </w:tc>
        <w:tc>
          <w:tcPr>
            <w:tcW w:w="170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民族地区产业高质量发展测度及时空特征分析</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湖南省武陵山片区农业经济高质量发展水平测度及影响因素研究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金融生态多样性对制造业集聚的影响机制研究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老龄金融创新与多层次养老保障健康发展研究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李怡环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金融风险资产持有、心理压力与家庭幸福感</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刘恒宇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中部地区“小巨人”企业空间分布及支持政策</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Style w:val="30"/>
                <w:lang w:val="en-US" w:eastAsia="zh-CN" w:bidi="ar"/>
              </w:rPr>
              <w:t>脱贫地区乡村产业联农带农的典型模式和机制优化研究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曹务腾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8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父辈的支持对“创二代”创业活动的绩效影响研究</w:t>
            </w:r>
          </w:p>
        </w:tc>
        <w:tc>
          <w:tcPr>
            <w:tcW w:w="1700" w:type="dxa"/>
            <w:vAlign w:val="center"/>
          </w:tcPr>
          <w:p>
            <w:pPr>
              <w:pStyle w:val="2"/>
              <w:ind w:left="0" w:leftChars="0" w:firstLine="0" w:firstLineChars="0"/>
              <w:jc w:val="center"/>
              <w:rPr>
                <w:rFonts w:hint="default"/>
                <w:vertAlign w:val="baseline"/>
                <w:lang w:val="en-US" w:eastAsia="zh-CN"/>
              </w:rPr>
            </w:pPr>
            <w:r>
              <w:rPr>
                <w:rFonts w:hint="default"/>
                <w:vertAlign w:val="baseline"/>
                <w:lang w:val="en-US" w:eastAsia="zh-CN"/>
              </w:rPr>
              <w:t>研究生校级科研项目</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2022-2023</w:t>
            </w:r>
          </w:p>
        </w:tc>
        <w:tc>
          <w:tcPr>
            <w:tcW w:w="10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吴宏儒</w:t>
            </w:r>
          </w:p>
        </w:tc>
      </w:tr>
    </w:tbl>
    <w:tbl>
      <w:tblPr>
        <w:tblStyle w:val="14"/>
        <w:tblpPr w:leftFromText="180" w:rightFromText="180" w:vertAnchor="text" w:horzAnchor="page" w:tblpXSpec="center" w:tblpY="5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4329"/>
        <w:gridCol w:w="201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93" w:type="dxa"/>
            <w:gridSpan w:val="4"/>
            <w:tcBorders>
              <w:top w:val="nil"/>
              <w:left w:val="nil"/>
              <w:right w:val="nil"/>
            </w:tcBorders>
            <w:vAlign w:val="center"/>
          </w:tcPr>
          <w:p>
            <w:pPr>
              <w:pStyle w:val="2"/>
              <w:ind w:left="0" w:leftChars="0" w:firstLine="0" w:firstLineChars="0"/>
              <w:jc w:val="center"/>
              <w:rPr>
                <w:rFonts w:hint="eastAsia" w:ascii="宋体" w:hAnsi="宋体" w:eastAsia="宋体" w:cs="宋体"/>
                <w:b/>
                <w:bCs/>
                <w:i w:val="0"/>
                <w:iCs w:val="0"/>
                <w:color w:val="000000"/>
                <w:kern w:val="0"/>
                <w:sz w:val="20"/>
                <w:szCs w:val="20"/>
                <w:u w:val="none"/>
                <w:lang w:val="en-US" w:eastAsia="zh-CN" w:bidi="ar"/>
              </w:rPr>
            </w:pPr>
            <w:r>
              <w:rPr>
                <w:rFonts w:hint="eastAsia" w:ascii="仿宋" w:hAnsi="仿宋" w:eastAsia="仿宋"/>
                <w:spacing w:val="-7"/>
                <w:w w:val="110"/>
                <w:sz w:val="24"/>
                <w:szCs w:val="24"/>
                <w:lang w:val="en-US" w:eastAsia="zh-CN"/>
              </w:rPr>
              <w:t>表6 2022年论文发表统计表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作者</w:t>
            </w:r>
          </w:p>
        </w:tc>
        <w:tc>
          <w:tcPr>
            <w:tcW w:w="432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期刊名称</w:t>
            </w:r>
          </w:p>
        </w:tc>
        <w:tc>
          <w:tcPr>
            <w:tcW w:w="201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期刊名称</w:t>
            </w:r>
          </w:p>
        </w:tc>
        <w:tc>
          <w:tcPr>
            <w:tcW w:w="103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刘贤</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国家级</w:t>
            </w:r>
            <w:bookmarkStart w:id="35" w:name="_GoBack"/>
            <w:bookmarkEnd w:id="35"/>
            <w:r>
              <w:rPr>
                <w:rFonts w:hint="eastAsia" w:ascii="宋体" w:hAnsi="宋体" w:eastAsia="宋体" w:cs="宋体"/>
                <w:i w:val="0"/>
                <w:iCs w:val="0"/>
                <w:color w:val="000000"/>
                <w:kern w:val="0"/>
                <w:sz w:val="22"/>
                <w:szCs w:val="22"/>
                <w:u w:val="none"/>
                <w:lang w:val="en-US" w:eastAsia="zh-CN" w:bidi="ar"/>
              </w:rPr>
              <w:t>专精特新“小巨人”企业空间分布及其影响因素</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经济地理</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李慧</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大湘西地区粮食生产与农业结构调整的协调性分析</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乡村科技</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姚爽</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湖南省武陵山片区县域乡村经济韧性测度及时空格局演变研究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云南农业大学学报（社会科学）</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姚爽</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2001—2020年中国西南地区气象灾害损失的时空分布特征</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乡村科技</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马文祥</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普惠金融数字化对城乡收入差距影响实证分析</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合作经济与科技</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马文祥</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数字普惠金融助推湘西州旅游产业发展策略研究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内蒙古科技与经济</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王乐</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基于熵值法的电子商务发展水平测度与分析</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科技和产业</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王乐</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电子商务对农村居民消费水平的影响研究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农业与技术</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尹瑾雯</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我国城镇发展韧性及空间相关性分析</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乡村科技</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汤露</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金融生态环境与外商直接投资</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江苏理工学院学报</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汤露</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金融生态系统内部耦合的区域差异研究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浙江金融</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汤露</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普惠金融发展模式影响城乡收入差距的比较研究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新金融</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文静</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湖南省数字普惠金融发展对产业结构升级影响的实证研究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山东纺织经济</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文静</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湘西州农业金融支持效率研究</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农业与技术</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Measurement and Spatial-temporal Analysis of Coupling Coordination Development between Green Finance and Environmental Governance in China</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Environmental Science and Pollution Research</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Dynamic Influence of Digital and Technological Advancement on Sustainable Economic Growth in Belt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and Road Initiative (BRI) Countries</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Sustainability</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Transition of Bio-economy as a key Concept for the Agriculture and Agribusiness Development：An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Extensive Review on ASEAN Countries</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Frontiers in Sustainable Food Systems</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王田田</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An empirical investigation of the impact of renewable and non-renewable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energy consumption and economic growth on climate change,evidence from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emerging Asian countries</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Frontiers in Environmental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Science</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王淀坤</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撤县设区对区域经济发展的影响研究——基于长三角地区的经验证据</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投资与创业</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万航</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数字普惠金融、金融素养与资产相对贫困</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湘潭大学学报(哲学社会科学版)</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谈群</w:t>
            </w:r>
          </w:p>
        </w:tc>
        <w:tc>
          <w:tcPr>
            <w:tcW w:w="4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湖南省旅游经济差异及旅游景区空间分析</w:t>
            </w:r>
          </w:p>
        </w:tc>
        <w:tc>
          <w:tcPr>
            <w:tcW w:w="20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旅游纵览</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2022.10</w:t>
            </w:r>
          </w:p>
        </w:tc>
      </w:tr>
    </w:tbl>
    <w:p>
      <w:pPr>
        <w:snapToGrid w:val="0"/>
        <w:spacing w:line="360" w:lineRule="auto"/>
        <w:rPr>
          <w:rFonts w:hint="eastAsia" w:ascii="仿宋" w:hAnsi="仿宋" w:eastAsia="仿宋"/>
          <w:color w:val="FF0000"/>
          <w:spacing w:val="-7"/>
          <w:w w:val="110"/>
          <w:sz w:val="28"/>
          <w:szCs w:val="28"/>
        </w:rPr>
      </w:pPr>
    </w:p>
    <w:p>
      <w:pPr>
        <w:pStyle w:val="6"/>
        <w:snapToGrid w:val="0"/>
        <w:spacing w:before="0" w:after="0" w:line="360" w:lineRule="auto"/>
        <w:ind w:firstLine="618" w:firstLineChars="200"/>
        <w:rPr>
          <w:rFonts w:ascii="仿宋" w:hAnsi="仿宋" w:eastAsia="仿宋"/>
          <w:w w:val="110"/>
          <w:sz w:val="28"/>
          <w:szCs w:val="28"/>
        </w:rPr>
      </w:pPr>
      <w:bookmarkStart w:id="24" w:name="_Toc92457820"/>
      <w:r>
        <w:rPr>
          <w:rFonts w:hint="eastAsia" w:ascii="仿宋" w:hAnsi="仿宋" w:eastAsia="仿宋"/>
          <w:w w:val="110"/>
          <w:sz w:val="28"/>
          <w:szCs w:val="28"/>
        </w:rPr>
        <w:t>2</w:t>
      </w:r>
      <w:r>
        <w:rPr>
          <w:rFonts w:ascii="仿宋" w:hAnsi="仿宋" w:eastAsia="仿宋"/>
          <w:w w:val="110"/>
          <w:sz w:val="28"/>
          <w:szCs w:val="28"/>
        </w:rPr>
        <w:t xml:space="preserve">. </w:t>
      </w:r>
      <w:r>
        <w:rPr>
          <w:rFonts w:hint="eastAsia" w:ascii="仿宋" w:hAnsi="仿宋" w:eastAsia="仿宋"/>
          <w:w w:val="110"/>
          <w:sz w:val="28"/>
          <w:szCs w:val="28"/>
        </w:rPr>
        <w:t>教师队伍</w:t>
      </w:r>
      <w:r>
        <w:rPr>
          <w:rFonts w:hint="eastAsia" w:ascii="仿宋" w:hAnsi="仿宋" w:eastAsia="仿宋"/>
          <w:sz w:val="28"/>
          <w:szCs w:val="28"/>
        </w:rPr>
        <w:t>建设</w:t>
      </w:r>
      <w:r>
        <w:rPr>
          <w:rFonts w:hint="eastAsia" w:ascii="仿宋" w:hAnsi="仿宋" w:eastAsia="仿宋"/>
          <w:w w:val="110"/>
          <w:sz w:val="28"/>
          <w:szCs w:val="28"/>
        </w:rPr>
        <w:t>情况</w:t>
      </w:r>
      <w:bookmarkEnd w:id="24"/>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目前应用经济学硕士点共有专任教师35人，其中教授12人、副教授14人，博士19人，教育部新世纪人才计划人选2人，湖南省“百人计划”专家1人，省级学科带头人2人；硕士生导师17人，骨干教师或学术活跃教师19名，占比52.78%；教师年龄结构以中青年教师为主，45岁以下教师23位，占比65.71%；学缘结构合理，多来自日本山口大学、中国农业科学院、武汉大学、中央财经大学、中南大学、华中科技大学、中山大学、西南财经大学等国内外著名高校，全年生师比仅为1.</w:t>
      </w:r>
      <w:r>
        <w:rPr>
          <w:rFonts w:ascii="仿宋" w:hAnsi="仿宋" w:eastAsia="仿宋"/>
          <w:spacing w:val="-7"/>
          <w:w w:val="110"/>
          <w:sz w:val="28"/>
          <w:szCs w:val="28"/>
        </w:rPr>
        <w:t>37</w:t>
      </w:r>
      <w:r>
        <w:rPr>
          <w:rFonts w:hint="eastAsia" w:ascii="仿宋" w:hAnsi="仿宋" w:eastAsia="仿宋"/>
          <w:spacing w:val="-7"/>
          <w:w w:val="110"/>
          <w:sz w:val="28"/>
          <w:szCs w:val="28"/>
        </w:rPr>
        <w:t>：1。</w:t>
      </w:r>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学位点导师主要方向与团队：（1）区域经济学方向：丁建军、冷志明、商兆奎、李峰、吴雄周、曹福明。（</w:t>
      </w:r>
      <w:r>
        <w:rPr>
          <w:rFonts w:ascii="仿宋" w:hAnsi="仿宋" w:eastAsia="仿宋"/>
          <w:spacing w:val="-7"/>
          <w:w w:val="110"/>
          <w:sz w:val="28"/>
          <w:szCs w:val="28"/>
        </w:rPr>
        <w:t>2</w:t>
      </w:r>
      <w:r>
        <w:rPr>
          <w:rFonts w:hint="eastAsia" w:ascii="仿宋" w:hAnsi="仿宋" w:eastAsia="仿宋"/>
          <w:spacing w:val="-7"/>
          <w:w w:val="110"/>
          <w:sz w:val="28"/>
          <w:szCs w:val="28"/>
        </w:rPr>
        <w:t>）产业经济学方向：蒋辉、李湘玲、于正东、杨宗锦、叶明霞、李定珍、鲁明勇。（</w:t>
      </w:r>
      <w:r>
        <w:rPr>
          <w:rFonts w:ascii="仿宋" w:hAnsi="仿宋" w:eastAsia="仿宋"/>
          <w:spacing w:val="-7"/>
          <w:w w:val="110"/>
          <w:sz w:val="28"/>
          <w:szCs w:val="28"/>
        </w:rPr>
        <w:t>3</w:t>
      </w:r>
      <w:r>
        <w:rPr>
          <w:rFonts w:hint="eastAsia" w:ascii="仿宋" w:hAnsi="仿宋" w:eastAsia="仿宋"/>
          <w:spacing w:val="-7"/>
          <w:w w:val="110"/>
          <w:sz w:val="28"/>
          <w:szCs w:val="28"/>
        </w:rPr>
        <w:t>）国民经济与金融学方向：李琼、钟高峥、邓永勤、游新彩、彭耿、孙爱淑、殷强、黄利文。</w:t>
      </w:r>
    </w:p>
    <w:p>
      <w:pPr>
        <w:snapToGrid w:val="0"/>
        <w:spacing w:line="360" w:lineRule="auto"/>
        <w:ind w:firstLine="588" w:firstLineChars="200"/>
        <w:rPr>
          <w:rFonts w:ascii="仿宋" w:hAnsi="仿宋" w:eastAsia="仿宋"/>
          <w:color w:val="FF0000"/>
          <w:spacing w:val="-7"/>
          <w:w w:val="110"/>
          <w:sz w:val="28"/>
          <w:szCs w:val="28"/>
        </w:rPr>
      </w:pPr>
      <w:r>
        <w:rPr>
          <w:rFonts w:hint="eastAsia" w:ascii="仿宋" w:hAnsi="仿宋" w:eastAsia="仿宋"/>
          <w:spacing w:val="-7"/>
          <w:w w:val="110"/>
          <w:sz w:val="28"/>
          <w:szCs w:val="28"/>
        </w:rPr>
        <w:t>积极组织导师申报学位与研究生教学改革研究项目，积极组织申报</w:t>
      </w:r>
      <w:r>
        <w:rPr>
          <w:rFonts w:ascii="仿宋" w:hAnsi="仿宋" w:eastAsia="仿宋"/>
          <w:spacing w:val="-7"/>
          <w:w w:val="110"/>
          <w:sz w:val="28"/>
          <w:szCs w:val="28"/>
        </w:rPr>
        <w:t>202</w:t>
      </w:r>
      <w:r>
        <w:rPr>
          <w:rFonts w:hint="eastAsia" w:ascii="仿宋" w:hAnsi="仿宋" w:eastAsia="仿宋"/>
          <w:spacing w:val="-7"/>
          <w:w w:val="110"/>
          <w:sz w:val="28"/>
          <w:szCs w:val="28"/>
          <w:lang w:val="en-US" w:eastAsia="zh-CN"/>
        </w:rPr>
        <w:t>2</w:t>
      </w:r>
      <w:r>
        <w:rPr>
          <w:rFonts w:hint="eastAsia" w:ascii="仿宋" w:hAnsi="仿宋" w:eastAsia="仿宋"/>
          <w:spacing w:val="-7"/>
          <w:w w:val="110"/>
          <w:sz w:val="28"/>
          <w:szCs w:val="28"/>
        </w:rPr>
        <w:t>年研究生优质课程、高水平教材、优秀案例的申报。经学校学术委员会评审，学位点“村镇银行发展与治理创新研究生培养创新基地”顺利通过年度检查。积极支持导师申报各种人才项目，</w:t>
      </w:r>
      <w:r>
        <w:rPr>
          <w:rFonts w:hint="eastAsia" w:ascii="仿宋" w:hAnsi="仿宋" w:eastAsia="仿宋"/>
          <w:color w:val="auto"/>
          <w:spacing w:val="-7"/>
          <w:w w:val="110"/>
          <w:sz w:val="28"/>
          <w:szCs w:val="28"/>
        </w:rPr>
        <w:t>推荐参评中宣部全国宣传思想文化青年英才人选1人，推荐参评“芙蓉学者奖励计划”人选1人。</w:t>
      </w:r>
    </w:p>
    <w:p>
      <w:pPr>
        <w:pStyle w:val="6"/>
        <w:snapToGrid w:val="0"/>
        <w:spacing w:before="0" w:after="0" w:line="360" w:lineRule="auto"/>
        <w:ind w:firstLine="618" w:firstLineChars="200"/>
        <w:rPr>
          <w:rFonts w:ascii="仿宋" w:hAnsi="仿宋" w:eastAsia="仿宋"/>
        </w:rPr>
      </w:pPr>
      <w:bookmarkStart w:id="25" w:name="_Toc92457821"/>
      <w:r>
        <w:rPr>
          <w:rFonts w:ascii="仿宋" w:hAnsi="仿宋" w:eastAsia="仿宋"/>
          <w:w w:val="110"/>
          <w:sz w:val="28"/>
          <w:szCs w:val="28"/>
        </w:rPr>
        <w:t xml:space="preserve">3. </w:t>
      </w:r>
      <w:r>
        <w:rPr>
          <w:rFonts w:hint="eastAsia" w:ascii="仿宋" w:hAnsi="仿宋" w:eastAsia="仿宋"/>
          <w:sz w:val="28"/>
          <w:szCs w:val="28"/>
        </w:rPr>
        <w:t>科学研究</w:t>
      </w:r>
      <w:r>
        <w:rPr>
          <w:rFonts w:hint="eastAsia" w:ascii="仿宋" w:hAnsi="仿宋" w:eastAsia="仿宋"/>
          <w:w w:val="110"/>
          <w:sz w:val="28"/>
          <w:szCs w:val="28"/>
        </w:rPr>
        <w:t>情况</w:t>
      </w:r>
      <w:bookmarkEnd w:id="25"/>
    </w:p>
    <w:p>
      <w:pPr>
        <w:snapToGrid w:val="0"/>
        <w:spacing w:line="360" w:lineRule="auto"/>
        <w:ind w:firstLine="588" w:firstLineChars="200"/>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rPr>
        <w:t>学位点本年度共发表论文或出版专著</w:t>
      </w:r>
      <w:r>
        <w:rPr>
          <w:rFonts w:hint="eastAsia" w:ascii="仿宋" w:hAnsi="仿宋" w:eastAsia="仿宋"/>
          <w:spacing w:val="-7"/>
          <w:w w:val="110"/>
          <w:sz w:val="28"/>
          <w:szCs w:val="28"/>
          <w:lang w:val="en-US" w:eastAsia="zh-CN"/>
        </w:rPr>
        <w:t>36</w:t>
      </w:r>
      <w:r>
        <w:rPr>
          <w:rFonts w:hint="eastAsia" w:ascii="仿宋" w:hAnsi="仿宋" w:eastAsia="仿宋"/>
          <w:spacing w:val="-7"/>
          <w:w w:val="110"/>
          <w:sz w:val="28"/>
          <w:szCs w:val="28"/>
        </w:rPr>
        <w:t>篇（部）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其中发表CSSCI共10篇，出版专著4篇，</w:t>
      </w:r>
      <w:r>
        <w:rPr>
          <w:rFonts w:hint="eastAsia" w:ascii="仿宋" w:hAnsi="仿宋" w:eastAsia="仿宋"/>
          <w:spacing w:val="-7"/>
          <w:w w:val="110"/>
          <w:sz w:val="28"/>
          <w:szCs w:val="28"/>
        </w:rPr>
        <w:t>年度新增省部级以上纵向项目立项</w:t>
      </w:r>
      <w:r>
        <w:rPr>
          <w:rFonts w:hint="eastAsia" w:ascii="仿宋" w:hAnsi="仿宋" w:eastAsia="仿宋"/>
          <w:spacing w:val="-7"/>
          <w:w w:val="110"/>
          <w:sz w:val="28"/>
          <w:szCs w:val="28"/>
          <w:lang w:val="en-US" w:eastAsia="zh-CN"/>
        </w:rPr>
        <w:t>7项，总经费27.5余万元，其中李琼教授申报的《湖南人口老龄化对经济高质量发展影响研究》、欧阳胜教授申报的《多重网络嵌入对新创企业成长性影响机制研究---以欠发达地区为例》、殷强教师申报的《易地扶贫搬迁集中安置户生计空间重构及适应机制研究》喜获湖南省教育厅科学研究重点项目。教师团队教学成果获第十三届湖南省高等教育教学成果奖二等奖1项，获吉首大学教学成果特等奖1项、一等奖2项、三等奖1项；与中山大学管理学院联合申报的教学成果奖获批参评国家级教学成果奖。</w:t>
      </w:r>
    </w:p>
    <w:p>
      <w:pPr>
        <w:snapToGrid w:val="0"/>
        <w:spacing w:line="360" w:lineRule="auto"/>
        <w:ind w:firstLine="588" w:firstLineChars="200"/>
        <w:rPr>
          <w:rFonts w:ascii="仿宋" w:hAnsi="仿宋" w:eastAsia="仿宋"/>
          <w:color w:val="FF0000"/>
          <w:spacing w:val="-7"/>
          <w:w w:val="110"/>
          <w:sz w:val="28"/>
          <w:szCs w:val="28"/>
        </w:rPr>
      </w:pPr>
      <w:r>
        <w:rPr>
          <w:rFonts w:hint="eastAsia" w:ascii="仿宋" w:hAnsi="仿宋" w:eastAsia="仿宋"/>
          <w:color w:val="auto"/>
          <w:spacing w:val="-7"/>
          <w:w w:val="110"/>
          <w:sz w:val="28"/>
          <w:szCs w:val="28"/>
          <w:lang w:val="en-US" w:eastAsia="zh-CN"/>
        </w:rPr>
        <w:t>学院</w:t>
      </w:r>
      <w:r>
        <w:rPr>
          <w:rFonts w:hint="eastAsia" w:ascii="仿宋" w:hAnsi="仿宋" w:eastAsia="仿宋"/>
          <w:color w:val="auto"/>
          <w:spacing w:val="-7"/>
          <w:w w:val="110"/>
          <w:sz w:val="28"/>
          <w:szCs w:val="28"/>
        </w:rPr>
        <w:t>邀请张育强</w:t>
      </w:r>
      <w:r>
        <w:rPr>
          <w:rFonts w:hint="eastAsia" w:ascii="仿宋" w:hAnsi="仿宋" w:eastAsia="仿宋"/>
          <w:color w:val="auto"/>
          <w:spacing w:val="-7"/>
          <w:w w:val="110"/>
          <w:sz w:val="28"/>
          <w:szCs w:val="28"/>
          <w:lang w:eastAsia="zh-CN"/>
        </w:rPr>
        <w:t>、杨少良</w:t>
      </w:r>
      <w:r>
        <w:rPr>
          <w:rFonts w:hint="eastAsia" w:ascii="仿宋" w:hAnsi="仿宋" w:eastAsia="仿宋"/>
          <w:color w:val="auto"/>
          <w:spacing w:val="-7"/>
          <w:w w:val="110"/>
          <w:sz w:val="28"/>
          <w:szCs w:val="28"/>
        </w:rPr>
        <w:t>等数位国内外知名专家来院讲学，并</w:t>
      </w:r>
      <w:r>
        <w:rPr>
          <w:rFonts w:hint="eastAsia" w:ascii="仿宋" w:hAnsi="仿宋" w:eastAsia="仿宋"/>
          <w:color w:val="auto"/>
          <w:spacing w:val="-7"/>
          <w:w w:val="110"/>
          <w:sz w:val="28"/>
          <w:szCs w:val="28"/>
          <w:lang w:val="en-US" w:eastAsia="zh-CN"/>
        </w:rPr>
        <w:t>邀请</w:t>
      </w:r>
      <w:r>
        <w:rPr>
          <w:rFonts w:hint="eastAsia" w:ascii="仿宋" w:hAnsi="仿宋" w:eastAsia="仿宋"/>
          <w:color w:val="auto"/>
          <w:spacing w:val="-7"/>
          <w:w w:val="110"/>
          <w:sz w:val="28"/>
          <w:szCs w:val="28"/>
        </w:rPr>
        <w:t>欧阳峣</w:t>
      </w:r>
      <w:r>
        <w:rPr>
          <w:rFonts w:hint="eastAsia" w:ascii="仿宋" w:hAnsi="仿宋" w:eastAsia="仿宋"/>
          <w:color w:val="auto"/>
          <w:spacing w:val="-7"/>
          <w:w w:val="110"/>
          <w:sz w:val="28"/>
          <w:szCs w:val="28"/>
          <w:lang w:eastAsia="zh-CN"/>
        </w:rPr>
        <w:t>、钟昌标、王志章、刘利平、马超群</w:t>
      </w:r>
      <w:r>
        <w:rPr>
          <w:rFonts w:hint="eastAsia" w:ascii="仿宋" w:hAnsi="仿宋" w:eastAsia="仿宋"/>
          <w:color w:val="auto"/>
          <w:spacing w:val="-7"/>
          <w:w w:val="110"/>
          <w:sz w:val="28"/>
          <w:szCs w:val="28"/>
        </w:rPr>
        <w:t>等数十位国内外知名专家通过线上形式开展讲学并对学位点科研和学科建设工作进行指导10余次。</w:t>
      </w:r>
    </w:p>
    <w:p>
      <w:pPr>
        <w:pStyle w:val="6"/>
        <w:snapToGrid w:val="0"/>
        <w:spacing w:before="0" w:after="0" w:line="360" w:lineRule="auto"/>
        <w:ind w:firstLine="618" w:firstLineChars="200"/>
        <w:rPr>
          <w:rFonts w:ascii="仿宋" w:hAnsi="仿宋" w:eastAsia="仿宋" w:cs="宋体"/>
          <w:w w:val="115"/>
          <w:sz w:val="28"/>
          <w:szCs w:val="28"/>
          <w:highlight w:val="yellow"/>
        </w:rPr>
      </w:pPr>
      <w:bookmarkStart w:id="26" w:name="_Toc92457822"/>
      <w:r>
        <w:rPr>
          <w:rFonts w:ascii="仿宋" w:hAnsi="仿宋" w:eastAsia="仿宋"/>
          <w:w w:val="110"/>
          <w:sz w:val="28"/>
          <w:szCs w:val="28"/>
        </w:rPr>
        <w:t xml:space="preserve">4. </w:t>
      </w:r>
      <w:r>
        <w:rPr>
          <w:rFonts w:hint="eastAsia" w:ascii="仿宋" w:hAnsi="仿宋" w:eastAsia="仿宋"/>
          <w:w w:val="110"/>
          <w:sz w:val="28"/>
          <w:szCs w:val="28"/>
        </w:rPr>
        <w:t>传承创新优秀学科文化情况</w:t>
      </w:r>
      <w:bookmarkEnd w:id="26"/>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本年度学位点团队高质量完成了《湘西自治州“十四五”巩固脱贫攻坚成果同乡村振兴有效衔接实施规划》，已获中共湘西州委、州人民政府“十四五”规划领导小组审核通过；承接了吉首市发改委、商务局委托的《吉首市“十四五”商务发展规划》；高质量完成了“湘西自治州旅游抽样调查”，并编撰完成《湘西州文化旅游商品产业链发展规划》、《湘西自治州智慧旅游规划》、《矮寨·十八洞·德夯大峡谷旅游景区概念性规划纲要》等工作，为服务当地社会经济发展做出了智慧贡献。</w:t>
      </w:r>
      <w:bookmarkStart w:id="27" w:name="_Hlk92130173"/>
      <w:r>
        <w:rPr>
          <w:rFonts w:hint="eastAsia" w:ascii="仿宋" w:hAnsi="仿宋" w:eastAsia="仿宋"/>
          <w:spacing w:val="-7"/>
          <w:w w:val="110"/>
          <w:sz w:val="28"/>
          <w:szCs w:val="28"/>
        </w:rPr>
        <w:t>主要由学位点教师参与编写的《摆脱千年贫困的湘西探索与实践：精准扶贫首倡地样本解读》一书出版并在十八洞村举行赠书仪式。</w:t>
      </w:r>
    </w:p>
    <w:bookmarkEnd w:id="27"/>
    <w:p>
      <w:pPr>
        <w:pStyle w:val="6"/>
        <w:snapToGrid w:val="0"/>
        <w:spacing w:before="0" w:after="0" w:line="360" w:lineRule="auto"/>
        <w:ind w:firstLine="618" w:firstLineChars="200"/>
        <w:rPr>
          <w:rFonts w:ascii="仿宋" w:hAnsi="仿宋" w:eastAsia="仿宋"/>
          <w:w w:val="110"/>
          <w:sz w:val="28"/>
          <w:szCs w:val="28"/>
        </w:rPr>
      </w:pPr>
      <w:bookmarkStart w:id="28" w:name="_Toc92457823"/>
      <w:r>
        <w:rPr>
          <w:rFonts w:ascii="仿宋" w:hAnsi="仿宋" w:eastAsia="仿宋"/>
          <w:w w:val="110"/>
          <w:sz w:val="28"/>
          <w:szCs w:val="28"/>
        </w:rPr>
        <w:t>5.</w:t>
      </w:r>
      <w:r>
        <w:rPr>
          <w:rFonts w:hint="eastAsia" w:ascii="仿宋" w:hAnsi="仿宋" w:eastAsia="仿宋"/>
          <w:w w:val="110"/>
          <w:sz w:val="28"/>
          <w:szCs w:val="28"/>
        </w:rPr>
        <w:t>国际交流合作等的改革创新情况</w:t>
      </w:r>
      <w:bookmarkEnd w:id="28"/>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本年度一直与新加坡国立大学易君健教授合作联上研究生《计量经济学》，授课效果显著，但因疫情影响继续开展线上课堂；并与日本鹿儿岛大学开展定期交流，就联合人才培养和项目研究已基本达成合作协议。</w:t>
      </w:r>
    </w:p>
    <w:p>
      <w:pPr>
        <w:snapToGrid w:val="0"/>
        <w:spacing w:line="360" w:lineRule="auto"/>
        <w:ind w:firstLine="435"/>
        <w:rPr>
          <w:rFonts w:ascii="仿宋" w:hAnsi="仿宋" w:eastAsia="仿宋" w:cs="宋体"/>
          <w:w w:val="115"/>
          <w:sz w:val="28"/>
          <w:szCs w:val="28"/>
        </w:rPr>
      </w:pPr>
    </w:p>
    <w:p>
      <w:pPr>
        <w:pStyle w:val="5"/>
        <w:snapToGrid w:val="0"/>
        <w:spacing w:before="0" w:after="0" w:line="360" w:lineRule="auto"/>
        <w:rPr>
          <w:rFonts w:ascii="黑体" w:hAnsi="黑体" w:eastAsia="黑体"/>
          <w:b w:val="0"/>
          <w:bCs w:val="0"/>
        </w:rPr>
      </w:pPr>
      <w:bookmarkStart w:id="29" w:name="_Toc92457824"/>
      <w:bookmarkStart w:id="30" w:name="_Hlk92203522"/>
      <w:r>
        <w:rPr>
          <w:rFonts w:hint="eastAsia" w:ascii="黑体" w:hAnsi="黑体" w:eastAsia="黑体"/>
          <w:b w:val="0"/>
          <w:bCs w:val="0"/>
        </w:rPr>
        <w:t>五、教育质量评估与分析</w:t>
      </w:r>
      <w:bookmarkEnd w:id="29"/>
    </w:p>
    <w:bookmarkEnd w:id="30"/>
    <w:p>
      <w:pPr>
        <w:pStyle w:val="6"/>
        <w:snapToGrid w:val="0"/>
        <w:spacing w:before="0" w:after="0" w:line="360" w:lineRule="auto"/>
        <w:ind w:firstLine="618" w:firstLineChars="200"/>
        <w:rPr>
          <w:rFonts w:ascii="仿宋" w:hAnsi="仿宋" w:eastAsia="仿宋"/>
          <w:w w:val="110"/>
          <w:sz w:val="28"/>
          <w:szCs w:val="28"/>
        </w:rPr>
      </w:pPr>
      <w:bookmarkStart w:id="31" w:name="_Toc92457825"/>
      <w:r>
        <w:rPr>
          <w:rFonts w:hint="eastAsia" w:ascii="仿宋" w:hAnsi="仿宋" w:eastAsia="仿宋"/>
          <w:w w:val="110"/>
          <w:sz w:val="28"/>
          <w:szCs w:val="28"/>
        </w:rPr>
        <w:t>1.学位授权点自我评估进展及问题分析</w:t>
      </w:r>
      <w:bookmarkEnd w:id="31"/>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随着研究生规模的扩大，学位点在管理经验、培养目标上处于进一步探索当中，仍然存在着一下问题：一是学科带头人的学术影响力仍需进一步提升，中青年学术骨干队伍仍需进一步壮大，及学术活跃度仍需进一步提升。年满5</w:t>
      </w:r>
      <w:r>
        <w:rPr>
          <w:rFonts w:ascii="仿宋" w:hAnsi="仿宋" w:eastAsia="仿宋"/>
          <w:spacing w:val="-7"/>
          <w:w w:val="110"/>
          <w:sz w:val="28"/>
          <w:szCs w:val="28"/>
        </w:rPr>
        <w:t>7</w:t>
      </w:r>
      <w:r>
        <w:rPr>
          <w:rFonts w:hint="eastAsia" w:ascii="仿宋" w:hAnsi="仿宋" w:eastAsia="仿宋"/>
          <w:spacing w:val="-7"/>
          <w:w w:val="110"/>
          <w:sz w:val="28"/>
          <w:szCs w:val="28"/>
        </w:rPr>
        <w:t>岁，近3年即将退休的导师有4人，急需补充年轻导师。</w:t>
      </w:r>
      <w:bookmarkStart w:id="32" w:name="_Hlk92374529"/>
      <w:r>
        <w:rPr>
          <w:rFonts w:hint="eastAsia" w:ascii="仿宋" w:hAnsi="仿宋" w:eastAsia="仿宋"/>
          <w:spacing w:val="-7"/>
          <w:w w:val="110"/>
          <w:sz w:val="28"/>
          <w:szCs w:val="28"/>
        </w:rPr>
        <w:t>部分导师的责任心不足，教学科研成果偏少，对研究生的指导能力有限。</w:t>
      </w:r>
      <w:bookmarkEnd w:id="32"/>
      <w:r>
        <w:rPr>
          <w:rFonts w:hint="eastAsia" w:ascii="仿宋" w:hAnsi="仿宋" w:eastAsia="仿宋"/>
          <w:spacing w:val="-7"/>
          <w:w w:val="110"/>
          <w:sz w:val="28"/>
          <w:szCs w:val="28"/>
        </w:rPr>
        <w:t>二是由于导师数量少，研究方向比较分散。导师团队建设还比较滞后，部分导师的责任心不足，教学科研成果偏少，对研究生的指导能力有限。学位点导师的科研创新能力相对不足。师生参加高水平国际国内学术会议频次仍需提高，举办高层次国际国内学术会议次数相对较少。三是本学科外文图书资料相对不足，外文期刊种类偏少，外文数据库资源有限。四是学位点师生科研质量有待提升。国家级重点、重大项目尚未取得突破，高水平的学术论文数量有限，科研成果产出率增长不明显，科研动力有待加强。近年来，由于高档次论文的发表难度持续加大，学位点导师和研究生发表高质量、高级别论文的数量有一定的下降，只有少数导师还能发表。</w:t>
      </w:r>
    </w:p>
    <w:p>
      <w:pPr>
        <w:pStyle w:val="6"/>
        <w:snapToGrid w:val="0"/>
        <w:spacing w:before="0" w:after="0" w:line="360" w:lineRule="auto"/>
        <w:ind w:firstLine="618" w:firstLineChars="200"/>
        <w:rPr>
          <w:rFonts w:ascii="仿宋" w:hAnsi="仿宋" w:eastAsia="仿宋" w:cs="宋体"/>
          <w:b w:val="0"/>
          <w:bCs w:val="0"/>
          <w:w w:val="115"/>
          <w:sz w:val="28"/>
          <w:szCs w:val="28"/>
        </w:rPr>
      </w:pPr>
      <w:bookmarkStart w:id="33" w:name="_Toc92457826"/>
      <w:r>
        <w:rPr>
          <w:rFonts w:hint="eastAsia" w:ascii="仿宋" w:hAnsi="仿宋" w:eastAsia="仿宋"/>
          <w:w w:val="110"/>
          <w:sz w:val="28"/>
          <w:szCs w:val="28"/>
        </w:rPr>
        <w:t>2.学位论文抽检情况及问题分析</w:t>
      </w:r>
      <w:bookmarkEnd w:id="33"/>
    </w:p>
    <w:p>
      <w:pPr>
        <w:snapToGrid w:val="0"/>
        <w:spacing w:line="360" w:lineRule="auto"/>
        <w:ind w:firstLine="590"/>
        <w:rPr>
          <w:rFonts w:ascii="仿宋" w:hAnsi="仿宋" w:eastAsia="仿宋" w:cs="宋体"/>
          <w:sz w:val="28"/>
          <w:szCs w:val="28"/>
        </w:rPr>
      </w:pPr>
      <w:r>
        <w:rPr>
          <w:rFonts w:hint="eastAsia" w:ascii="仿宋" w:hAnsi="仿宋" w:eastAsia="仿宋" w:cs="宋体"/>
          <w:sz w:val="28"/>
          <w:szCs w:val="28"/>
        </w:rPr>
        <w:t>学位点学位论文的全程实行“源头控制、过程监督、出口从严”策略，实施“审题—开题—中期检查—校内专家评阅—预答辩—校外盲审—答辩”等环节，对研究生学位论文实行严格的“双盲”审核制度，对盲审意见为“不同意答辩”的不予答辩。论文答辩邀请校外相关研究领域专家主持，对答辩未通过者严格按照答辩委员会提出的修改意见进行修改，学位论文评阅人和答辩委员会成员中，要有博士学位或教授职称的学科内专家。由于管理规范、指导严谨，严格把控论文质量关</w:t>
      </w:r>
      <w:r>
        <w:rPr>
          <w:rFonts w:hint="eastAsia" w:ascii="仿宋" w:hAnsi="仿宋" w:eastAsia="仿宋" w:cs="宋体"/>
          <w:sz w:val="28"/>
          <w:szCs w:val="28"/>
          <w:lang w:eastAsia="zh-CN"/>
        </w:rPr>
        <w:t>。</w:t>
      </w:r>
    </w:p>
    <w:p>
      <w:pPr>
        <w:snapToGrid w:val="0"/>
        <w:spacing w:line="360" w:lineRule="auto"/>
        <w:rPr>
          <w:rFonts w:ascii="仿宋" w:hAnsi="仿宋" w:eastAsia="仿宋"/>
        </w:rPr>
      </w:pPr>
    </w:p>
    <w:p>
      <w:pPr>
        <w:pStyle w:val="5"/>
        <w:snapToGrid w:val="0"/>
        <w:spacing w:before="0" w:after="0" w:line="360" w:lineRule="auto"/>
        <w:rPr>
          <w:rFonts w:ascii="黑体" w:hAnsi="黑体" w:eastAsia="黑体"/>
          <w:b w:val="0"/>
          <w:bCs w:val="0"/>
        </w:rPr>
      </w:pPr>
      <w:bookmarkStart w:id="34" w:name="_Toc92457827"/>
      <w:r>
        <w:rPr>
          <w:rFonts w:hint="eastAsia" w:ascii="黑体" w:hAnsi="黑体" w:eastAsia="黑体"/>
          <w:b w:val="0"/>
          <w:bCs w:val="0"/>
        </w:rPr>
        <w:t>六、改进措施</w:t>
      </w:r>
      <w:bookmarkEnd w:id="34"/>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针对学位点存在的主要不足与短板，要以新一轮学校博士点（应用经济学）申报为契机，</w:t>
      </w:r>
      <w:r>
        <w:rPr>
          <w:rFonts w:hint="eastAsia" w:ascii="仿宋" w:hAnsi="仿宋" w:eastAsia="仿宋" w:cs="宋体"/>
          <w:sz w:val="28"/>
          <w:szCs w:val="28"/>
        </w:rPr>
        <w:t>抢抓委省共建、湖南省双一流高校建设和十四五学科发展、机遇，积极争取各级政府在政策、项目和经费方面的支持。</w:t>
      </w:r>
    </w:p>
    <w:p>
      <w:pPr>
        <w:snapToGrid w:val="0"/>
        <w:spacing w:line="360" w:lineRule="auto"/>
        <w:ind w:firstLine="590"/>
        <w:rPr>
          <w:rFonts w:ascii="仿宋" w:hAnsi="仿宋" w:eastAsia="仿宋" w:cs="宋体"/>
          <w:sz w:val="28"/>
          <w:szCs w:val="28"/>
        </w:rPr>
      </w:pPr>
      <w:r>
        <w:rPr>
          <w:rFonts w:hint="eastAsia" w:ascii="仿宋" w:hAnsi="仿宋" w:eastAsia="仿宋" w:cs="宋体"/>
          <w:b/>
          <w:bCs/>
          <w:sz w:val="28"/>
          <w:szCs w:val="28"/>
        </w:rPr>
        <w:t>（1）实施研究生金课建设工程。</w:t>
      </w:r>
      <w:r>
        <w:rPr>
          <w:rFonts w:hint="eastAsia" w:ascii="仿宋" w:hAnsi="仿宋" w:eastAsia="仿宋" w:cs="宋体"/>
          <w:sz w:val="28"/>
          <w:szCs w:val="28"/>
        </w:rPr>
        <w:t>推进研究生课程思政建设项目，实现课程教学与研究生思想政治工作的融合。以培养方案优化为基础，持续推进学术研究生课程设计和课程内容的持续更新。出台课程教学考核与激励机制，强化课程教学督导，激发任课教师提升教学质量的积极性，支持和鼓励任课教师积极申报省级一流研究生课程；鼓励和支持任课教师立足研究生培养特色，充分立足本土资源案例和研究成果，编写并出版具有本土特色的研究生教材。鼓励和支持任课教师立足数字经济时代的新要求，持续推进教学手段“现代化”、教学内容“前沿化”、教学资源“本土化”的研究生课程教学改革。</w:t>
      </w:r>
    </w:p>
    <w:p>
      <w:pPr>
        <w:snapToGrid w:val="0"/>
        <w:spacing w:line="360" w:lineRule="auto"/>
        <w:ind w:firstLine="590"/>
        <w:rPr>
          <w:rFonts w:ascii="仿宋" w:hAnsi="仿宋" w:eastAsia="仿宋" w:cs="宋体"/>
          <w:kern w:val="0"/>
          <w:sz w:val="28"/>
          <w:szCs w:val="28"/>
        </w:rPr>
      </w:pPr>
      <w:r>
        <w:rPr>
          <w:rFonts w:hint="eastAsia" w:ascii="仿宋" w:hAnsi="仿宋" w:eastAsia="仿宋" w:cs="宋体"/>
          <w:b/>
          <w:bCs/>
          <w:sz w:val="28"/>
          <w:szCs w:val="28"/>
        </w:rPr>
        <w:t>（2）实施研究生金牌导师建设工程。</w:t>
      </w:r>
      <w:r>
        <w:rPr>
          <w:rFonts w:hint="eastAsia" w:ascii="仿宋" w:hAnsi="仿宋" w:eastAsia="仿宋" w:cs="宋体"/>
          <w:sz w:val="28"/>
          <w:szCs w:val="28"/>
        </w:rPr>
        <w:t>努力引进高水平学科带头人和高层次中青年学术骨干；充分发挥学校“俊彦”计划和“双一流”学科建设政策和经费的支持效应，加大对学科带头人和中青年学术骨干的激励力度，创建良好的科研学术氛围，积极推进实施学位点人才梯队培育工程。通过“引进”和“培育”两手抓，为弥补学位点学科带头人不够强、中青年学术骨干学术活跃度不够高的短板提供政策和制度保障。高度重视导师能力和素质建设工作，</w:t>
      </w:r>
      <w:r>
        <w:rPr>
          <w:rFonts w:hint="eastAsia" w:ascii="仿宋" w:hAnsi="仿宋" w:eastAsia="仿宋" w:cs="宋体"/>
          <w:kern w:val="0"/>
          <w:sz w:val="28"/>
          <w:szCs w:val="28"/>
        </w:rPr>
        <w:t>充分利用好对口支援高校资源，通过定期培训和交流学习，切实提升导师的指导能力和水平。</w:t>
      </w:r>
      <w:r>
        <w:rPr>
          <w:rFonts w:hint="eastAsia" w:ascii="仿宋" w:hAnsi="仿宋" w:eastAsia="仿宋" w:cs="宋体"/>
          <w:sz w:val="28"/>
          <w:szCs w:val="28"/>
        </w:rPr>
        <w:t>支持和鼓励老师积极申报校级和省级研究生教研教改项目，鼓励和支持导师持续创新研究生培养机制，不断提升研究生培养质量。推进导师考核与激励机制创新，突出</w:t>
      </w:r>
      <w:r>
        <w:rPr>
          <w:rFonts w:hint="eastAsia" w:ascii="仿宋" w:hAnsi="仿宋" w:eastAsia="仿宋" w:cs="宋体"/>
          <w:kern w:val="0"/>
          <w:sz w:val="28"/>
          <w:szCs w:val="28"/>
        </w:rPr>
        <w:t>研究生导师在研究生培养中的主体地位，激发导师责任心和积极性。立足学科团队建设，进一批优质导师团队建设。</w:t>
      </w:r>
    </w:p>
    <w:p>
      <w:pPr>
        <w:snapToGrid w:val="0"/>
        <w:spacing w:line="360" w:lineRule="auto"/>
        <w:ind w:firstLine="562" w:firstLineChars="200"/>
        <w:rPr>
          <w:rFonts w:ascii="仿宋" w:hAnsi="仿宋" w:eastAsia="仿宋"/>
          <w:spacing w:val="-7"/>
          <w:w w:val="110"/>
          <w:sz w:val="28"/>
          <w:szCs w:val="28"/>
        </w:rPr>
      </w:pPr>
      <w:r>
        <w:rPr>
          <w:rFonts w:hint="eastAsia" w:ascii="仿宋" w:hAnsi="仿宋" w:eastAsia="仿宋" w:cs="宋体"/>
          <w:b/>
          <w:bCs/>
          <w:sz w:val="28"/>
          <w:szCs w:val="28"/>
        </w:rPr>
        <w:t>（3）推进研究生培养平台建设工程。</w:t>
      </w:r>
      <w:r>
        <w:rPr>
          <w:rFonts w:hint="eastAsia" w:ascii="仿宋" w:hAnsi="仿宋" w:eastAsia="仿宋" w:cs="宋体"/>
          <w:sz w:val="28"/>
          <w:szCs w:val="28"/>
        </w:rPr>
        <w:t>定期举办研究生案例讲座和学术沙龙，切实提升研究生参加案例大赛的质量。加强与学院校友联系，强化校友资源利用，发挥校友在案例开发、研究生实习等方面的特殊作用。支持和鼓励老师积极申报校级和省级研究生培养创新基地，切实提升基地的建设质量。</w:t>
      </w:r>
      <w:r>
        <w:rPr>
          <w:rFonts w:hint="eastAsia" w:ascii="仿宋" w:hAnsi="仿宋" w:eastAsia="仿宋"/>
          <w:spacing w:val="-7"/>
          <w:w w:val="110"/>
          <w:sz w:val="28"/>
          <w:szCs w:val="28"/>
        </w:rPr>
        <w:t>加大外文图书、期刊及数据库采购支持力度，强化学术资源保障，以“中西部高校基础能力建设工程”项目实施为契机，加强图书资料建设，加大学位点外文资料采购投入；充分利用教育部确定的对口支援高校—中山大学和湖南省政府确定的对口支援高校—湖南师范大学的援助资源和政策，通过创建图书资源和数据库资源共享通道，部分解决外文资料和数据库不足的问题。</w:t>
      </w:r>
    </w:p>
    <w:p>
      <w:pPr>
        <w:snapToGrid w:val="0"/>
        <w:spacing w:line="360" w:lineRule="auto"/>
        <w:ind w:firstLine="590"/>
        <w:rPr>
          <w:rFonts w:ascii="仿宋" w:hAnsi="仿宋" w:eastAsia="仿宋" w:cs="宋体"/>
          <w:b/>
          <w:bCs/>
          <w:sz w:val="28"/>
          <w:szCs w:val="28"/>
        </w:rPr>
      </w:pPr>
      <w:r>
        <w:rPr>
          <w:rFonts w:hint="eastAsia" w:ascii="仿宋" w:hAnsi="仿宋" w:eastAsia="仿宋" w:cs="宋体"/>
          <w:b/>
          <w:bCs/>
          <w:sz w:val="28"/>
          <w:szCs w:val="28"/>
        </w:rPr>
        <w:t>（4）实施研究生科研创新素质提升工程。</w:t>
      </w:r>
      <w:r>
        <w:rPr>
          <w:rFonts w:hint="eastAsia" w:ascii="仿宋" w:hAnsi="仿宋" w:eastAsia="仿宋"/>
          <w:spacing w:val="-7"/>
          <w:w w:val="110"/>
          <w:sz w:val="28"/>
          <w:szCs w:val="28"/>
        </w:rPr>
        <w:t>加强资金与时间的保障，促进学位点的国际学术交流，提升高质量国际学术会议举办和参与频次，扩大学位点的国际国内学术影响力和知名度。完善学科学术会议管理制度，优化激励机制，提升高水平国际国内学术会议参与度；通过加大资金投入，坚持“请进来”与“走出去”并行，通过主办、承办、协办各类国际国内学术会议，为师生开展学术交流活动搭建平台；积极创造有利条件，特别是科学规划学科带头人、中青年学术骨干的时间安排，为师生赴海内外学习交流、开阔学术视野、提升学术水平提供有效的时间保障。</w:t>
      </w:r>
      <w:r>
        <w:rPr>
          <w:rFonts w:hint="eastAsia" w:ascii="仿宋" w:hAnsi="仿宋" w:eastAsia="仿宋" w:cs="宋体"/>
          <w:sz w:val="28"/>
          <w:szCs w:val="28"/>
        </w:rPr>
        <w:t>发挥好风雨湖大讲堂、研究生学术沙龙等学术交流平台的作用，鼓励和支持研究生进行论文成果、案例探索、想法创思等类型的学术报告和学术交流；鼓励和支持研究生申报各级各类课题、参与导师课题研究、参与学术交流、参与社会服务，支持研究生发表高质量论文和攻读博士学位，切实提升自身科研创新能力。以湖南省MBA企业案例大赛、湖南省金融案例大赛、湖南省研究生数学建模竞赛、全国大学生市场调查与分析大赛等项目为基础，切实发挥导师的积极性，以赛促学，持续推进研究生学科竞赛项目质量提升。</w:t>
      </w:r>
    </w:p>
    <w:p>
      <w:pPr>
        <w:snapToGrid w:val="0"/>
        <w:spacing w:line="360" w:lineRule="auto"/>
        <w:ind w:firstLine="590"/>
        <w:rPr>
          <w:rFonts w:ascii="仿宋" w:hAnsi="仿宋" w:eastAsia="仿宋" w:cs="宋体"/>
          <w:sz w:val="28"/>
          <w:szCs w:val="28"/>
        </w:rPr>
      </w:pPr>
      <w:r>
        <w:rPr>
          <w:rFonts w:hint="eastAsia" w:ascii="仿宋" w:hAnsi="仿宋" w:eastAsia="仿宋" w:cs="宋体"/>
          <w:b/>
          <w:bCs/>
          <w:sz w:val="28"/>
          <w:szCs w:val="28"/>
        </w:rPr>
        <w:t>（5）创新研究生教育管理机制。</w:t>
      </w:r>
      <w:r>
        <w:rPr>
          <w:rFonts w:hint="eastAsia" w:ascii="仿宋" w:hAnsi="仿宋" w:eastAsia="仿宋" w:cs="宋体"/>
          <w:sz w:val="28"/>
          <w:szCs w:val="28"/>
        </w:rPr>
        <w:t>发挥好学院党委、行政、导师等主体的协同作用，加强研究生思想政治教育。推进研究生的精细化管理，按照项目管理的机制管理各项工作，按照工程思维来推动过程管理，不断优化研究生教育管理的流程，做好研究生培养和管理各环节的质量控制。提升研究生教育品牌意识，推进研究生高水平论文、高水平项目和高水平奖项等“三高”工程。持续优化研究生教学环境，推进研究生案例讨论室、研究生自习室、学术沙龙室、专业教室等基础设施建设，提升管理质量和管理水平。推进研究生教育与学科建设融合，切实提升研究生培养质量。强化研究生教学督导和学风建设，落实好导师责任制，确保研究生授课质量。做好调查研究，强化研究生招生宣传工作，切实提升报考数量和质量。</w:t>
      </w:r>
    </w:p>
    <w:p>
      <w:pPr>
        <w:snapToGrid w:val="0"/>
        <w:spacing w:line="360" w:lineRule="auto"/>
        <w:ind w:firstLine="588" w:firstLineChars="200"/>
        <w:rPr>
          <w:rFonts w:ascii="宋体" w:hAnsi="宋体"/>
          <w:spacing w:val="-7"/>
          <w:w w:val="11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altName w:val="宋体"/>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Y2E2MmEzZTJiYmJlZDM3OGVmOGUxNDBiYTg3ZTgifQ=="/>
  </w:docVars>
  <w:rsids>
    <w:rsidRoot w:val="50B15851"/>
    <w:rsid w:val="000460C4"/>
    <w:rsid w:val="00053EE5"/>
    <w:rsid w:val="0013451B"/>
    <w:rsid w:val="00164706"/>
    <w:rsid w:val="001B5F8A"/>
    <w:rsid w:val="001D596B"/>
    <w:rsid w:val="00265A8C"/>
    <w:rsid w:val="00297F11"/>
    <w:rsid w:val="00301E02"/>
    <w:rsid w:val="003513BC"/>
    <w:rsid w:val="0036539E"/>
    <w:rsid w:val="00385644"/>
    <w:rsid w:val="00386F0E"/>
    <w:rsid w:val="00390741"/>
    <w:rsid w:val="00433426"/>
    <w:rsid w:val="00445BE2"/>
    <w:rsid w:val="00456ABD"/>
    <w:rsid w:val="004F5018"/>
    <w:rsid w:val="00521A7A"/>
    <w:rsid w:val="00533BCB"/>
    <w:rsid w:val="005823F0"/>
    <w:rsid w:val="005B0B7F"/>
    <w:rsid w:val="005B6F24"/>
    <w:rsid w:val="00611EFF"/>
    <w:rsid w:val="00643C43"/>
    <w:rsid w:val="006455DF"/>
    <w:rsid w:val="006722B2"/>
    <w:rsid w:val="00677670"/>
    <w:rsid w:val="006F0050"/>
    <w:rsid w:val="006F3452"/>
    <w:rsid w:val="0070106A"/>
    <w:rsid w:val="0070133E"/>
    <w:rsid w:val="00707BBF"/>
    <w:rsid w:val="00725345"/>
    <w:rsid w:val="00726AB4"/>
    <w:rsid w:val="00730609"/>
    <w:rsid w:val="00782BA4"/>
    <w:rsid w:val="007B190C"/>
    <w:rsid w:val="007B4D9F"/>
    <w:rsid w:val="007C151F"/>
    <w:rsid w:val="008152AC"/>
    <w:rsid w:val="00844D45"/>
    <w:rsid w:val="00867A00"/>
    <w:rsid w:val="008932BA"/>
    <w:rsid w:val="008A2674"/>
    <w:rsid w:val="008A467F"/>
    <w:rsid w:val="008B3E1F"/>
    <w:rsid w:val="00940A6C"/>
    <w:rsid w:val="009522D1"/>
    <w:rsid w:val="00962631"/>
    <w:rsid w:val="00987BA8"/>
    <w:rsid w:val="00995C41"/>
    <w:rsid w:val="009D11E1"/>
    <w:rsid w:val="009E2D11"/>
    <w:rsid w:val="009E4411"/>
    <w:rsid w:val="00A3565C"/>
    <w:rsid w:val="00A9729D"/>
    <w:rsid w:val="00AB1262"/>
    <w:rsid w:val="00AB66A9"/>
    <w:rsid w:val="00AC51EB"/>
    <w:rsid w:val="00AF37D5"/>
    <w:rsid w:val="00B44123"/>
    <w:rsid w:val="00B87EF8"/>
    <w:rsid w:val="00B96157"/>
    <w:rsid w:val="00BD22F6"/>
    <w:rsid w:val="00BF387B"/>
    <w:rsid w:val="00C309BC"/>
    <w:rsid w:val="00C516ED"/>
    <w:rsid w:val="00C824F5"/>
    <w:rsid w:val="00C85D59"/>
    <w:rsid w:val="00CB0BFC"/>
    <w:rsid w:val="00CD56A4"/>
    <w:rsid w:val="00CE20B6"/>
    <w:rsid w:val="00CF75DF"/>
    <w:rsid w:val="00D749EA"/>
    <w:rsid w:val="00D93E55"/>
    <w:rsid w:val="00DC124F"/>
    <w:rsid w:val="00E602B5"/>
    <w:rsid w:val="00E737FA"/>
    <w:rsid w:val="00ED377B"/>
    <w:rsid w:val="00F35473"/>
    <w:rsid w:val="00F626F8"/>
    <w:rsid w:val="00F650B3"/>
    <w:rsid w:val="00FC70C0"/>
    <w:rsid w:val="00FE7807"/>
    <w:rsid w:val="04757F46"/>
    <w:rsid w:val="07B742AB"/>
    <w:rsid w:val="08D656EB"/>
    <w:rsid w:val="09173A60"/>
    <w:rsid w:val="09231C4C"/>
    <w:rsid w:val="10493C0A"/>
    <w:rsid w:val="11CA2884"/>
    <w:rsid w:val="13A935BD"/>
    <w:rsid w:val="145B4C97"/>
    <w:rsid w:val="15F84AA5"/>
    <w:rsid w:val="16792E84"/>
    <w:rsid w:val="190470B1"/>
    <w:rsid w:val="1A711AC0"/>
    <w:rsid w:val="1B3C14F7"/>
    <w:rsid w:val="1CDF5F24"/>
    <w:rsid w:val="1FB519E5"/>
    <w:rsid w:val="21B20AD4"/>
    <w:rsid w:val="244A27F5"/>
    <w:rsid w:val="24896BD3"/>
    <w:rsid w:val="290553B3"/>
    <w:rsid w:val="295054F6"/>
    <w:rsid w:val="29707988"/>
    <w:rsid w:val="2AAE68E9"/>
    <w:rsid w:val="2DE80131"/>
    <w:rsid w:val="30140919"/>
    <w:rsid w:val="3615049E"/>
    <w:rsid w:val="36CC1EA5"/>
    <w:rsid w:val="3972198D"/>
    <w:rsid w:val="3C1E2652"/>
    <w:rsid w:val="3D763179"/>
    <w:rsid w:val="3E9B0C43"/>
    <w:rsid w:val="40D33D5E"/>
    <w:rsid w:val="41B80492"/>
    <w:rsid w:val="42B375DC"/>
    <w:rsid w:val="42E373E0"/>
    <w:rsid w:val="46C657F5"/>
    <w:rsid w:val="484F30AC"/>
    <w:rsid w:val="48ED3CFA"/>
    <w:rsid w:val="4A6D43F8"/>
    <w:rsid w:val="505E2487"/>
    <w:rsid w:val="50A907B5"/>
    <w:rsid w:val="50B15851"/>
    <w:rsid w:val="54B05D25"/>
    <w:rsid w:val="553E1482"/>
    <w:rsid w:val="59104463"/>
    <w:rsid w:val="5ABF31FE"/>
    <w:rsid w:val="5C7356E2"/>
    <w:rsid w:val="5CE42197"/>
    <w:rsid w:val="5F163088"/>
    <w:rsid w:val="5FDE12AF"/>
    <w:rsid w:val="618B1F5D"/>
    <w:rsid w:val="61AA0037"/>
    <w:rsid w:val="6FC92F48"/>
    <w:rsid w:val="71103BE6"/>
    <w:rsid w:val="724E4B0C"/>
    <w:rsid w:val="78480ED5"/>
    <w:rsid w:val="7BA94B16"/>
    <w:rsid w:val="7D47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0"/>
    <w:pPr>
      <w:spacing w:after="120"/>
    </w:pPr>
  </w:style>
  <w:style w:type="paragraph" w:styleId="8">
    <w:name w:val="toc 3"/>
    <w:basedOn w:val="1"/>
    <w:next w:val="1"/>
    <w:qFormat/>
    <w:uiPriority w:val="39"/>
    <w:pPr>
      <w:ind w:left="840" w:leftChars="400"/>
    </w:p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标准"/>
    <w:basedOn w:val="1"/>
    <w:qFormat/>
    <w:uiPriority w:val="0"/>
    <w:pPr>
      <w:adjustRightInd w:val="0"/>
      <w:spacing w:before="120" w:after="120" w:line="312" w:lineRule="atLeast"/>
      <w:textAlignment w:val="baseline"/>
    </w:pPr>
    <w:rPr>
      <w:rFonts w:ascii="宋体"/>
      <w:kern w:val="0"/>
    </w:rPr>
  </w:style>
  <w:style w:type="character" w:customStyle="1" w:styleId="18">
    <w:name w:val="font41"/>
    <w:basedOn w:val="15"/>
    <w:qFormat/>
    <w:uiPriority w:val="0"/>
    <w:rPr>
      <w:rFonts w:hint="eastAsia" w:ascii="宋体" w:hAnsi="宋体" w:eastAsia="宋体" w:cs="宋体"/>
      <w:color w:val="000000"/>
      <w:sz w:val="22"/>
      <w:szCs w:val="22"/>
      <w:u w:val="none"/>
    </w:rPr>
  </w:style>
  <w:style w:type="character" w:customStyle="1" w:styleId="19">
    <w:name w:val="font81"/>
    <w:basedOn w:val="15"/>
    <w:qFormat/>
    <w:uiPriority w:val="0"/>
    <w:rPr>
      <w:rFonts w:hint="eastAsia" w:ascii="宋体" w:hAnsi="宋体" w:eastAsia="宋体" w:cs="宋体"/>
      <w:color w:val="000000"/>
      <w:sz w:val="22"/>
      <w:szCs w:val="22"/>
      <w:u w:val="none"/>
    </w:rPr>
  </w:style>
  <w:style w:type="character" w:customStyle="1" w:styleId="20">
    <w:name w:val="font61"/>
    <w:basedOn w:val="15"/>
    <w:qFormat/>
    <w:uiPriority w:val="0"/>
    <w:rPr>
      <w:rFonts w:hint="default" w:ascii="Times New Roman" w:hAnsi="Times New Roman" w:cs="Times New Roman"/>
      <w:color w:val="000000"/>
      <w:sz w:val="22"/>
      <w:szCs w:val="22"/>
      <w:u w:val="none"/>
    </w:rPr>
  </w:style>
  <w:style w:type="character" w:customStyle="1" w:styleId="21">
    <w:name w:val="font01"/>
    <w:basedOn w:val="15"/>
    <w:qFormat/>
    <w:uiPriority w:val="0"/>
    <w:rPr>
      <w:rFonts w:hint="eastAsia" w:ascii="宋体" w:hAnsi="宋体" w:eastAsia="宋体" w:cs="宋体"/>
      <w:color w:val="000000"/>
      <w:sz w:val="22"/>
      <w:szCs w:val="22"/>
      <w:u w:val="none"/>
    </w:rPr>
  </w:style>
  <w:style w:type="character" w:customStyle="1" w:styleId="22">
    <w:name w:val="font21"/>
    <w:basedOn w:val="15"/>
    <w:qFormat/>
    <w:uiPriority w:val="0"/>
    <w:rPr>
      <w:rFonts w:hint="default" w:ascii="Times New Roman" w:hAnsi="Times New Roman" w:cs="Times New Roman"/>
      <w:color w:val="000000"/>
      <w:sz w:val="22"/>
      <w:szCs w:val="22"/>
      <w:u w:val="none"/>
    </w:rPr>
  </w:style>
  <w:style w:type="character" w:customStyle="1" w:styleId="23">
    <w:name w:val="页眉 字符"/>
    <w:basedOn w:val="15"/>
    <w:link w:val="10"/>
    <w:qFormat/>
    <w:uiPriority w:val="0"/>
    <w:rPr>
      <w:kern w:val="2"/>
      <w:sz w:val="18"/>
      <w:szCs w:val="18"/>
    </w:rPr>
  </w:style>
  <w:style w:type="character" w:customStyle="1" w:styleId="24">
    <w:name w:val="页脚 字符"/>
    <w:basedOn w:val="15"/>
    <w:link w:val="9"/>
    <w:qFormat/>
    <w:uiPriority w:val="0"/>
    <w:rPr>
      <w:kern w:val="2"/>
      <w:sz w:val="18"/>
      <w:szCs w:val="18"/>
    </w:rPr>
  </w:style>
  <w:style w:type="character" w:customStyle="1" w:styleId="25">
    <w:name w:val="标题 2 字符"/>
    <w:basedOn w:val="15"/>
    <w:link w:val="5"/>
    <w:qFormat/>
    <w:uiPriority w:val="0"/>
    <w:rPr>
      <w:rFonts w:asciiTheme="majorHAnsi" w:hAnsiTheme="majorHAnsi" w:eastAsiaTheme="majorEastAsia" w:cstheme="majorBidi"/>
      <w:b/>
      <w:bCs/>
      <w:kern w:val="2"/>
      <w:sz w:val="32"/>
      <w:szCs w:val="32"/>
    </w:rPr>
  </w:style>
  <w:style w:type="character" w:customStyle="1" w:styleId="26">
    <w:name w:val="标题 3 字符"/>
    <w:basedOn w:val="15"/>
    <w:link w:val="6"/>
    <w:qFormat/>
    <w:uiPriority w:val="0"/>
    <w:rPr>
      <w:b/>
      <w:bCs/>
      <w:kern w:val="2"/>
      <w:sz w:val="32"/>
      <w:szCs w:val="32"/>
    </w:rPr>
  </w:style>
  <w:style w:type="character" w:customStyle="1" w:styleId="27">
    <w:name w:val="标题 1 字符"/>
    <w:basedOn w:val="15"/>
    <w:link w:val="4"/>
    <w:qFormat/>
    <w:uiPriority w:val="0"/>
    <w:rPr>
      <w:b/>
      <w:bCs/>
      <w:kern w:val="44"/>
      <w:sz w:val="44"/>
      <w:szCs w:val="44"/>
    </w:rPr>
  </w:style>
  <w:style w:type="paragraph" w:customStyle="1" w:styleId="28">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9">
    <w:name w:val="List Paragraph"/>
    <w:basedOn w:val="1"/>
    <w:qFormat/>
    <w:uiPriority w:val="99"/>
    <w:pPr>
      <w:ind w:firstLine="420" w:firstLineChars="200"/>
    </w:pPr>
  </w:style>
  <w:style w:type="character" w:customStyle="1" w:styleId="30">
    <w:name w:val="font11"/>
    <w:basedOn w:val="1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005F-6CB3-4654-B6E8-7C29FBDA85A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14844</Words>
  <Characters>17329</Characters>
  <Lines>121</Lines>
  <Paragraphs>34</Paragraphs>
  <TotalTime>9</TotalTime>
  <ScaleCrop>false</ScaleCrop>
  <LinksUpToDate>false</LinksUpToDate>
  <CharactersWithSpaces>18196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2021-03-01T01:13:00Z</dcterms:created>
  <dc:creator>wulala</dc:creator>
  <cp:lastModifiedBy>Vagrant 叮</cp:lastModifiedBy>
  <dcterms:modified xsi:type="dcterms:W3CDTF">2023-02-15T07:26:08Z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9E5F5F02A5CB41689F945EC2D6CDEB63</vt:lpwstr>
  </property>
</Properties>
</file>