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AC8677">
      <w:pPr>
        <w:pStyle w:val="2"/>
        <w:widowControl/>
        <w:spacing w:line="540" w:lineRule="exact"/>
        <w:jc w:val="center"/>
        <w:rPr>
          <w:rFonts w:hint="default"/>
          <w:color w:val="000000" w:themeColor="text1"/>
          <w:spacing w:val="-12"/>
          <w:sz w:val="28"/>
          <w:szCs w:val="28"/>
        </w:rPr>
      </w:pPr>
      <w:r>
        <w:rPr>
          <w:rFonts w:ascii="黑体" w:hAnsi="黑体" w:eastAsia="黑体"/>
          <w:b w:val="0"/>
          <w:color w:val="000000" w:themeColor="text1"/>
          <w:spacing w:val="-12"/>
          <w:sz w:val="28"/>
          <w:szCs w:val="28"/>
        </w:rPr>
        <w:t>吉首大学商学院2026年推荐优秀应届本科毕业生免试攻读硕士学位研究生</w:t>
      </w:r>
    </w:p>
    <w:p w14:paraId="053E8BD5">
      <w:pPr>
        <w:pStyle w:val="2"/>
        <w:widowControl/>
        <w:spacing w:line="540" w:lineRule="exact"/>
        <w:jc w:val="center"/>
        <w:rPr>
          <w:rFonts w:hint="default"/>
          <w:color w:val="000000" w:themeColor="text1"/>
          <w:sz w:val="33"/>
          <w:szCs w:val="33"/>
        </w:rPr>
      </w:pPr>
      <w:r>
        <w:rPr>
          <w:color w:val="000000" w:themeColor="text1"/>
          <w:sz w:val="33"/>
          <w:szCs w:val="33"/>
        </w:rPr>
        <w:t>工作实施细则</w:t>
      </w:r>
    </w:p>
    <w:p w14:paraId="2E359930">
      <w:pPr>
        <w:spacing w:line="540" w:lineRule="exact"/>
        <w:ind w:firstLine="480" w:firstLineChars="200"/>
        <w:rPr>
          <w:color w:val="000000" w:themeColor="text1"/>
          <w:sz w:val="24"/>
        </w:rPr>
      </w:pPr>
    </w:p>
    <w:p w14:paraId="75A04436">
      <w:pPr>
        <w:spacing w:line="500" w:lineRule="exact"/>
        <w:ind w:firstLine="602" w:firstLineChars="200"/>
        <w:rPr>
          <w:rFonts w:ascii="仿宋" w:hAnsi="仿宋" w:eastAsia="仿宋" w:cs="仿宋"/>
          <w:color w:val="000000" w:themeColor="text1"/>
          <w:sz w:val="30"/>
          <w:szCs w:val="30"/>
        </w:rPr>
      </w:pPr>
      <w:r>
        <w:rPr>
          <w:rFonts w:hint="eastAsia" w:ascii="仿宋" w:hAnsi="仿宋" w:eastAsia="仿宋" w:cs="仿宋"/>
          <w:b/>
          <w:bCs/>
          <w:color w:val="000000" w:themeColor="text1"/>
          <w:sz w:val="30"/>
          <w:szCs w:val="30"/>
        </w:rPr>
        <w:t>第一条</w:t>
      </w:r>
      <w:r>
        <w:rPr>
          <w:rFonts w:hint="eastAsia" w:ascii="仿宋" w:hAnsi="仿宋" w:eastAsia="仿宋" w:cs="仿宋"/>
          <w:color w:val="000000" w:themeColor="text1"/>
          <w:sz w:val="30"/>
          <w:szCs w:val="30"/>
        </w:rPr>
        <w:t xml:space="preserve"> 为规范我院推荐优秀应届本科毕业生免试攻读硕士学位研究生（以下简称“推免生”）工作，加大选拔创新人才的力度，根据</w:t>
      </w:r>
      <w:r>
        <w:rPr>
          <w:rFonts w:hint="eastAsia" w:ascii="仿宋" w:hAnsi="仿宋" w:eastAsia="仿宋" w:cs="仿宋"/>
          <w:sz w:val="30"/>
          <w:szCs w:val="30"/>
        </w:rPr>
        <w:t>根据《吉首大学推荐优秀应届本科毕业生免试攻读硕士学位研究生实施办法（2025年修订）》（</w:t>
      </w:r>
      <w:r>
        <w:rPr>
          <w:rFonts w:hint="eastAsia" w:ascii="仿宋" w:hAnsi="仿宋" w:eastAsia="仿宋" w:cs="仿宋"/>
          <w:bCs/>
          <w:sz w:val="30"/>
          <w:szCs w:val="30"/>
        </w:rPr>
        <w:t>吉大发〔2025〕28号</w:t>
      </w:r>
      <w:r>
        <w:rPr>
          <w:rFonts w:hint="eastAsia" w:ascii="仿宋" w:hAnsi="仿宋" w:eastAsia="仿宋" w:cs="仿宋"/>
          <w:sz w:val="30"/>
          <w:szCs w:val="30"/>
        </w:rPr>
        <w:t>）和《关于做好2026年推荐优秀应届本科毕业生免试攻读硕士学位研究生工作的通知》（</w:t>
      </w:r>
      <w:r>
        <w:rPr>
          <w:rFonts w:hint="eastAsia" w:ascii="仿宋" w:hAnsi="仿宋" w:eastAsia="仿宋" w:cs="仿宋"/>
          <w:bCs/>
          <w:sz w:val="30"/>
          <w:szCs w:val="30"/>
        </w:rPr>
        <w:t>吉大办发〔2025〕16号</w:t>
      </w:r>
      <w:r>
        <w:rPr>
          <w:rFonts w:hint="eastAsia" w:ascii="仿宋" w:hAnsi="仿宋" w:eastAsia="仿宋" w:cs="仿宋"/>
          <w:sz w:val="30"/>
          <w:szCs w:val="30"/>
        </w:rPr>
        <w:t>）</w:t>
      </w:r>
      <w:r>
        <w:rPr>
          <w:rFonts w:hint="eastAsia" w:ascii="仿宋" w:hAnsi="仿宋" w:eastAsia="仿宋" w:cs="仿宋"/>
          <w:color w:val="000000" w:themeColor="text1"/>
          <w:sz w:val="30"/>
          <w:szCs w:val="30"/>
        </w:rPr>
        <w:t>要求，结合学院实际，制定本实施细则。</w:t>
      </w:r>
    </w:p>
    <w:p w14:paraId="153464D9">
      <w:pPr>
        <w:spacing w:line="500" w:lineRule="exact"/>
        <w:ind w:firstLine="602" w:firstLineChars="200"/>
        <w:rPr>
          <w:rFonts w:ascii="仿宋" w:hAnsi="仿宋" w:eastAsia="仿宋" w:cs="仿宋"/>
          <w:color w:val="000000" w:themeColor="text1"/>
          <w:sz w:val="30"/>
          <w:szCs w:val="30"/>
        </w:rPr>
      </w:pPr>
      <w:r>
        <w:rPr>
          <w:rFonts w:hint="eastAsia" w:ascii="仿宋" w:hAnsi="仿宋" w:eastAsia="仿宋" w:cs="仿宋"/>
          <w:b/>
          <w:bCs/>
          <w:color w:val="000000" w:themeColor="text1"/>
          <w:sz w:val="30"/>
          <w:szCs w:val="30"/>
        </w:rPr>
        <w:t>第二条</w:t>
      </w:r>
      <w:r>
        <w:rPr>
          <w:rFonts w:hint="eastAsia" w:ascii="仿宋" w:hAnsi="仿宋" w:eastAsia="仿宋" w:cs="仿宋"/>
          <w:color w:val="000000" w:themeColor="text1"/>
          <w:sz w:val="30"/>
          <w:szCs w:val="30"/>
        </w:rPr>
        <w:t xml:space="preserve"> 推荐过程坚持公平、公正、公开和集体研究、集体决策的原则；坚持以保障选拔质量为核心，对学生进行全面考查、综合评价、择优选拔的原则；坚持以德为先、突出考查学业表现、引导学生全面发展的原则。</w:t>
      </w:r>
    </w:p>
    <w:p w14:paraId="3A6618A3">
      <w:pPr>
        <w:spacing w:line="500" w:lineRule="exact"/>
        <w:ind w:firstLine="602" w:firstLineChars="200"/>
        <w:rPr>
          <w:rFonts w:ascii="仿宋" w:hAnsi="仿宋" w:eastAsia="仿宋" w:cs="仿宋"/>
          <w:color w:val="000000" w:themeColor="text1"/>
          <w:sz w:val="30"/>
          <w:szCs w:val="30"/>
        </w:rPr>
      </w:pPr>
      <w:r>
        <w:rPr>
          <w:rFonts w:hint="eastAsia" w:ascii="仿宋" w:hAnsi="仿宋" w:eastAsia="仿宋" w:cs="仿宋"/>
          <w:b/>
          <w:bCs/>
          <w:color w:val="000000" w:themeColor="text1"/>
          <w:sz w:val="30"/>
          <w:szCs w:val="30"/>
        </w:rPr>
        <w:t>第三条</w:t>
      </w:r>
      <w:r>
        <w:rPr>
          <w:rFonts w:hint="eastAsia" w:ascii="仿宋" w:hAnsi="仿宋" w:eastAsia="仿宋" w:cs="仿宋"/>
          <w:color w:val="000000" w:themeColor="text1"/>
          <w:kern w:val="0"/>
          <w:sz w:val="30"/>
          <w:szCs w:val="30"/>
        </w:rPr>
        <w:t xml:space="preserve"> 学院成立推免生遴选工作小组和推免生材料审核专家小组。学院推免生遴选工作小组由书记、院长担任组长，成员由分管本科教学、学生管理、科研、研究生教育工作的学院领导和负责人以及相关学科的教师、导师代表组成，负责制定本学院推免工作方案、审查学生申请材料、对申请学生进行综合测评并提出初步推荐名单等工作。学院成立推免生材料审核专家小组，由院长担任组长，成员由分管本科教学工作副院长和各教研室主任、教务秘书组成，对学生科研创新成果、学科竞赛获奖及主持项目等真实性和有效性进行审核鉴定。</w:t>
      </w:r>
    </w:p>
    <w:p w14:paraId="44896184">
      <w:pPr>
        <w:spacing w:line="500" w:lineRule="exact"/>
        <w:ind w:firstLine="602" w:firstLineChars="200"/>
        <w:rPr>
          <w:rFonts w:ascii="仿宋" w:hAnsi="仿宋" w:eastAsia="仿宋" w:cs="仿宋"/>
          <w:color w:val="000000" w:themeColor="text1"/>
          <w:sz w:val="30"/>
          <w:szCs w:val="30"/>
        </w:rPr>
      </w:pPr>
      <w:r>
        <w:rPr>
          <w:rFonts w:hint="eastAsia" w:ascii="仿宋" w:hAnsi="仿宋" w:eastAsia="仿宋" w:cs="仿宋"/>
          <w:b/>
          <w:bCs/>
          <w:color w:val="000000" w:themeColor="text1"/>
          <w:sz w:val="30"/>
          <w:szCs w:val="30"/>
        </w:rPr>
        <w:t>第四条</w:t>
      </w:r>
      <w:r>
        <w:rPr>
          <w:rFonts w:hint="eastAsia" w:ascii="仿宋" w:hAnsi="仿宋" w:eastAsia="仿宋" w:cs="仿宋"/>
          <w:color w:val="000000" w:themeColor="text1"/>
          <w:sz w:val="30"/>
          <w:szCs w:val="30"/>
        </w:rPr>
        <w:t xml:space="preserve"> 学院从具备下列条件的学生中择优遴选推免生：</w:t>
      </w:r>
    </w:p>
    <w:p w14:paraId="35CE3D1A">
      <w:pPr>
        <w:spacing w:line="500" w:lineRule="exact"/>
        <w:ind w:firstLine="600" w:firstLineChars="200"/>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一、推荐范围仅限于纳入国家普通本科招生计划录取的应届毕业生（不含专升本、第二学士学位、独立学院和国家相关文件规定的其他类别学生）；</w:t>
      </w:r>
    </w:p>
    <w:p w14:paraId="27FC654D">
      <w:pPr>
        <w:spacing w:line="500" w:lineRule="exact"/>
        <w:ind w:firstLine="600" w:firstLineChars="200"/>
        <w:rPr>
          <w:rFonts w:ascii="仿宋" w:hAnsi="仿宋" w:eastAsia="仿宋" w:cs="仿宋"/>
          <w:color w:val="000000" w:themeColor="text1"/>
          <w:sz w:val="30"/>
          <w:szCs w:val="30"/>
        </w:rPr>
      </w:pPr>
      <w:r>
        <w:rPr>
          <w:rFonts w:hint="eastAsia" w:ascii="仿宋" w:hAnsi="仿宋" w:eastAsia="仿宋" w:cs="仿宋"/>
          <w:color w:val="000000" w:themeColor="text1"/>
          <w:kern w:val="0"/>
          <w:sz w:val="30"/>
          <w:szCs w:val="30"/>
        </w:rPr>
        <w:t>二、身心健康。心理健康，无心理疾患；身体健康状况符合2003年卫生部、国家残疾人联合会颁发的《普通高等学校招生体检工作指导意见》的体检标准。</w:t>
      </w:r>
    </w:p>
    <w:p w14:paraId="4084C41A">
      <w:pPr>
        <w:spacing w:line="500" w:lineRule="exact"/>
        <w:ind w:firstLine="600" w:firstLineChars="200"/>
        <w:rPr>
          <w:rFonts w:ascii="仿宋" w:hAnsi="仿宋" w:eastAsia="仿宋" w:cs="仿宋"/>
          <w:color w:val="000000" w:themeColor="text1"/>
          <w:kern w:val="0"/>
          <w:sz w:val="30"/>
          <w:szCs w:val="30"/>
        </w:rPr>
      </w:pPr>
      <w:r>
        <w:rPr>
          <w:rFonts w:hint="eastAsia" w:ascii="仿宋" w:hAnsi="仿宋" w:eastAsia="仿宋" w:cs="仿宋"/>
          <w:color w:val="000000" w:themeColor="text1"/>
          <w:kern w:val="0"/>
          <w:sz w:val="30"/>
          <w:szCs w:val="30"/>
        </w:rPr>
        <w:t>三、品行优良。坚持以德为先。注重对学生政治态度、思想表现、道德品质、科学精神、诚实守信、遵纪守法等方面的考查。学生遵守高等学校学生行为准则，履行了高等学校学生义务；学风端正，诚实守信，无任何因考试作弊、学术不端、违法违纪受到处分的记录，思想品德考核合格。</w:t>
      </w:r>
    </w:p>
    <w:p w14:paraId="79D7D77D">
      <w:pPr>
        <w:spacing w:line="500" w:lineRule="exact"/>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（三）品行优良。遵守高等学校学生行为准则，履行高等学校学生义务；学风端正，诚实守信，无任何因考试作弊、学术不端、违法违纪受到处分的记录，思想品德考核合格。</w:t>
      </w:r>
    </w:p>
    <w:p w14:paraId="70FCF472">
      <w:pPr>
        <w:spacing w:line="500" w:lineRule="exact"/>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 xml:space="preserve">（四）学业优秀 </w:t>
      </w:r>
    </w:p>
    <w:p w14:paraId="6D5BB23B">
      <w:pPr>
        <w:spacing w:line="500" w:lineRule="exact"/>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 xml:space="preserve">1.人才培养方案中规定的通识必修课、学科基础课、专业主干课首考无不及格； </w:t>
      </w:r>
    </w:p>
    <w:p w14:paraId="73E14683">
      <w:pPr>
        <w:spacing w:line="500" w:lineRule="exact"/>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2.第1至6学期（学制四年）按本专业人才培养方案的课程设置及要求，所有课程（除通识选修课外）首考平均学分绩在本专业排名前10%以内（只舍不入）； 或主持获得湖南省“金种子杯”大学生创业大赛金、银、铜奖项目；或主持获得湖南省大学生创业投资基金项目；</w:t>
      </w:r>
    </w:p>
    <w:p w14:paraId="400959E9">
      <w:pPr>
        <w:spacing w:line="500" w:lineRule="exact"/>
        <w:ind w:firstLine="600" w:firstLineChars="200"/>
        <w:rPr>
          <w:rFonts w:ascii="仿宋" w:hAnsi="仿宋" w:eastAsia="仿宋" w:cs="仿宋"/>
          <w:color w:val="000000" w:themeColor="text1"/>
          <w:kern w:val="0"/>
          <w:sz w:val="30"/>
          <w:szCs w:val="30"/>
        </w:rPr>
      </w:pPr>
      <w:r>
        <w:rPr>
          <w:rFonts w:hint="eastAsia" w:ascii="仿宋" w:hAnsi="仿宋" w:eastAsia="仿宋" w:cs="仿宋"/>
          <w:color w:val="000000"/>
          <w:kern w:val="0"/>
          <w:sz w:val="30"/>
          <w:szCs w:val="30"/>
        </w:rPr>
        <w:t>3.非外语类专业学生全国大学英语四级考试成绩≥425 分；小语种学生通过相应的小语种四级考试。</w:t>
      </w:r>
    </w:p>
    <w:p w14:paraId="0CE211D1">
      <w:pPr>
        <w:spacing w:line="500" w:lineRule="exact"/>
        <w:ind w:firstLine="602" w:firstLineChars="200"/>
        <w:rPr>
          <w:rFonts w:ascii="仿宋" w:hAnsi="仿宋" w:eastAsia="仿宋" w:cs="仿宋"/>
          <w:color w:val="000000" w:themeColor="text1"/>
          <w:kern w:val="0"/>
          <w:sz w:val="30"/>
          <w:szCs w:val="30"/>
        </w:rPr>
      </w:pPr>
      <w:r>
        <w:rPr>
          <w:rFonts w:hint="eastAsia" w:ascii="仿宋" w:hAnsi="仿宋" w:eastAsia="仿宋" w:cs="仿宋"/>
          <w:b/>
          <w:color w:val="000000" w:themeColor="text1"/>
          <w:kern w:val="0"/>
          <w:sz w:val="30"/>
          <w:szCs w:val="30"/>
        </w:rPr>
        <w:t>第五条</w:t>
      </w:r>
      <w:r>
        <w:rPr>
          <w:rFonts w:hint="eastAsia" w:ascii="仿宋" w:hAnsi="仿宋" w:eastAsia="仿宋" w:cs="仿宋"/>
          <w:color w:val="000000" w:themeColor="text1"/>
          <w:kern w:val="0"/>
          <w:sz w:val="30"/>
          <w:szCs w:val="30"/>
        </w:rPr>
        <w:t xml:space="preserve"> 成绩计算范围与计算方法：</w:t>
      </w:r>
    </w:p>
    <w:p w14:paraId="0982A063">
      <w:pPr>
        <w:spacing w:line="500" w:lineRule="exact"/>
        <w:ind w:firstLine="600" w:firstLineChars="200"/>
        <w:rPr>
          <w:rFonts w:ascii="仿宋" w:hAnsi="仿宋" w:eastAsia="仿宋" w:cs="仿宋"/>
          <w:color w:val="000000" w:themeColor="text1"/>
          <w:kern w:val="0"/>
          <w:sz w:val="30"/>
          <w:szCs w:val="30"/>
        </w:rPr>
      </w:pPr>
      <w:r>
        <w:rPr>
          <w:rFonts w:hint="eastAsia" w:ascii="仿宋" w:hAnsi="仿宋" w:eastAsia="仿宋" w:cs="仿宋"/>
          <w:color w:val="000000" w:themeColor="text1"/>
          <w:kern w:val="0"/>
          <w:sz w:val="30"/>
          <w:szCs w:val="30"/>
        </w:rPr>
        <w:t>一、满足推免生申请条件的学生为推荐免试攻读硕士学位研究生候选人，由学院推免生遴选工作小组和推免生材料审核专家小组组织对候选人进行综合测评，根据综合测评得分从高到低排序（前三学年），确定推荐初选名单。</w:t>
      </w:r>
      <w:r>
        <w:rPr>
          <w:rFonts w:hint="eastAsia" w:ascii="仿宋" w:hAnsi="仿宋" w:eastAsia="仿宋" w:cs="仿宋"/>
          <w:b/>
          <w:color w:val="000000" w:themeColor="text1"/>
          <w:kern w:val="0"/>
          <w:sz w:val="30"/>
          <w:szCs w:val="30"/>
        </w:rPr>
        <w:t>如有获得候选资格的推免学生在公示期内主动放弃推免资格，经学校同意后，按照综合测评得分从高到低递补推荐。</w:t>
      </w:r>
    </w:p>
    <w:p w14:paraId="32420F67">
      <w:pPr>
        <w:spacing w:line="500" w:lineRule="exact"/>
        <w:ind w:firstLine="602" w:firstLineChars="200"/>
        <w:rPr>
          <w:rFonts w:hint="default" w:ascii="仿宋" w:hAnsi="仿宋" w:eastAsia="仿宋" w:cs="仿宋"/>
          <w:b/>
          <w:color w:val="000000" w:themeColor="text1"/>
          <w:kern w:val="0"/>
          <w:sz w:val="30"/>
          <w:szCs w:val="30"/>
          <w:lang w:val="en-US" w:eastAsia="zh-CN"/>
        </w:rPr>
      </w:pPr>
      <w:r>
        <w:rPr>
          <w:rFonts w:hint="eastAsia" w:ascii="仿宋" w:hAnsi="仿宋" w:eastAsia="仿宋" w:cs="仿宋"/>
          <w:b/>
          <w:color w:val="000000" w:themeColor="text1"/>
          <w:kern w:val="0"/>
          <w:sz w:val="30"/>
          <w:szCs w:val="30"/>
        </w:rPr>
        <w:t>综合测评分=学业成绩+综合考核成绩</w:t>
      </w:r>
      <w:r>
        <w:rPr>
          <w:rFonts w:hint="eastAsia" w:ascii="仿宋" w:hAnsi="仿宋" w:eastAsia="仿宋" w:cs="仿宋"/>
          <w:b/>
          <w:color w:val="000000" w:themeColor="text1"/>
          <w:kern w:val="0"/>
          <w:sz w:val="30"/>
          <w:szCs w:val="30"/>
          <w:lang w:eastAsia="zh-CN"/>
        </w:rPr>
        <w:t>。</w:t>
      </w:r>
      <w:r>
        <w:rPr>
          <w:rFonts w:hint="eastAsia" w:ascii="仿宋" w:hAnsi="仿宋" w:eastAsia="仿宋" w:cs="仿宋"/>
          <w:b/>
          <w:color w:val="000000" w:themeColor="text1"/>
          <w:kern w:val="0"/>
          <w:sz w:val="30"/>
          <w:szCs w:val="30"/>
          <w:lang w:val="en-US" w:eastAsia="zh-CN"/>
        </w:rPr>
        <w:t>综合测评分总分100分，其中学业成绩占80%，综合考核成绩占20%。</w:t>
      </w:r>
    </w:p>
    <w:p w14:paraId="195FB793">
      <w:pPr>
        <w:spacing w:line="500" w:lineRule="exact"/>
        <w:ind w:firstLine="602" w:firstLineChars="200"/>
        <w:rPr>
          <w:rFonts w:hint="eastAsia" w:ascii="仿宋" w:hAnsi="仿宋" w:eastAsia="仿宋" w:cs="仿宋"/>
          <w:b/>
          <w:bCs/>
          <w:color w:val="000000" w:themeColor="text1"/>
          <w:sz w:val="30"/>
          <w:szCs w:val="30"/>
        </w:rPr>
      </w:pPr>
      <w:r>
        <w:rPr>
          <w:rFonts w:hint="eastAsia" w:ascii="仿宋" w:hAnsi="仿宋" w:eastAsia="仿宋" w:cs="仿宋"/>
          <w:b/>
          <w:bCs/>
          <w:color w:val="000000" w:themeColor="text1"/>
          <w:sz w:val="30"/>
          <w:szCs w:val="30"/>
        </w:rPr>
        <w:t>二、学业成绩计算范围与计算方法</w:t>
      </w:r>
      <w:bookmarkStart w:id="0" w:name="_GoBack"/>
      <w:bookmarkEnd w:id="0"/>
    </w:p>
    <w:p w14:paraId="57C98209">
      <w:pPr>
        <w:spacing w:line="500" w:lineRule="exact"/>
        <w:ind w:firstLine="602" w:firstLineChars="200"/>
        <w:rPr>
          <w:rFonts w:hint="default" w:ascii="仿宋" w:hAnsi="仿宋" w:eastAsia="仿宋" w:cs="仿宋"/>
          <w:b/>
          <w:bCs/>
          <w:color w:val="000000" w:themeColor="text1"/>
          <w:sz w:val="30"/>
          <w:szCs w:val="30"/>
          <w:lang w:val="en-US" w:eastAsia="zh-CN"/>
        </w:rPr>
      </w:pPr>
      <w:r>
        <w:rPr>
          <w:rFonts w:hint="eastAsia" w:ascii="仿宋" w:hAnsi="仿宋" w:eastAsia="仿宋" w:cs="仿宋"/>
          <w:b/>
          <w:bCs/>
          <w:color w:val="000000" w:themeColor="text1"/>
          <w:sz w:val="30"/>
          <w:szCs w:val="30"/>
          <w:lang w:val="en-US" w:eastAsia="zh-CN"/>
        </w:rPr>
        <w:t>学业成绩得分=候选人实际平均学分绩×80%。</w:t>
      </w:r>
    </w:p>
    <w:p w14:paraId="7F1906A6">
      <w:pPr>
        <w:spacing w:line="500" w:lineRule="exact"/>
        <w:ind w:firstLine="600" w:firstLineChars="200"/>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学业成绩包括各专业《本科人才培养方案》设置的所有课程（不包含通识选修课）成绩，</w:t>
      </w:r>
      <w:r>
        <w:rPr>
          <w:rFonts w:hint="eastAsia" w:ascii="仿宋" w:hAnsi="仿宋" w:eastAsia="仿宋" w:cs="仿宋"/>
          <w:color w:val="000000" w:themeColor="text1"/>
          <w:sz w:val="30"/>
          <w:szCs w:val="30"/>
          <w:lang w:val="en-US" w:eastAsia="zh-CN"/>
        </w:rPr>
        <w:t>候选人实际平均学分绩</w:t>
      </w:r>
      <w:r>
        <w:rPr>
          <w:rFonts w:hint="eastAsia" w:ascii="仿宋" w:hAnsi="仿宋" w:eastAsia="仿宋" w:cs="仿宋"/>
          <w:color w:val="000000" w:themeColor="text1"/>
          <w:sz w:val="30"/>
          <w:szCs w:val="30"/>
        </w:rPr>
        <w:t>以强智系统导出的平均学分绩为准。</w:t>
      </w:r>
    </w:p>
    <w:p w14:paraId="7354FD68">
      <w:pPr>
        <w:spacing w:line="500" w:lineRule="exact"/>
        <w:ind w:firstLine="602" w:firstLineChars="200"/>
        <w:rPr>
          <w:rFonts w:ascii="仿宋" w:hAnsi="仿宋" w:eastAsia="仿宋" w:cs="仿宋"/>
          <w:b/>
          <w:color w:val="000000" w:themeColor="text1"/>
          <w:sz w:val="30"/>
          <w:szCs w:val="30"/>
        </w:rPr>
      </w:pPr>
      <w:r>
        <w:rPr>
          <w:rFonts w:hint="eastAsia" w:ascii="仿宋" w:hAnsi="仿宋" w:eastAsia="仿宋" w:cs="仿宋"/>
          <w:b/>
          <w:color w:val="000000" w:themeColor="text1"/>
          <w:sz w:val="30"/>
          <w:szCs w:val="30"/>
        </w:rPr>
        <w:t>三、综合考核成绩计算范围与计算方法。</w:t>
      </w:r>
      <w:r>
        <w:rPr>
          <w:rFonts w:hint="eastAsia" w:ascii="仿宋" w:hAnsi="仿宋" w:eastAsia="仿宋" w:cs="仿宋"/>
          <w:color w:val="000000" w:themeColor="text1"/>
          <w:sz w:val="30"/>
          <w:szCs w:val="30"/>
        </w:rPr>
        <w:t>根据《吉首大学推荐优秀应届本科毕业生免试攻读硕士学位研究生综合考核认定标准》,把科研创新成果、学科竞赛获奖及主持项目、参加有组织的志愿服务、到国际组织实习、参军入伍服兵役、省部级及以上重要荣誉称号因素纳入综合考核指标，并设置各指标分值及上限。</w:t>
      </w:r>
      <w:r>
        <w:rPr>
          <w:rFonts w:hint="eastAsia" w:ascii="仿宋" w:hAnsi="仿宋" w:eastAsia="仿宋" w:cs="仿宋"/>
          <w:b/>
          <w:color w:val="000000" w:themeColor="text1"/>
          <w:sz w:val="30"/>
          <w:szCs w:val="30"/>
        </w:rPr>
        <w:t>综合考核成绩总分满分为100分，占综合测评分的20%。</w:t>
      </w:r>
    </w:p>
    <w:p w14:paraId="10F70232">
      <w:pPr>
        <w:tabs>
          <w:tab w:val="left" w:pos="720"/>
        </w:tabs>
        <w:spacing w:line="500" w:lineRule="exact"/>
        <w:ind w:firstLine="602" w:firstLineChars="200"/>
        <w:rPr>
          <w:rFonts w:ascii="仿宋" w:hAnsi="仿宋" w:eastAsia="仿宋" w:cs="仿宋"/>
          <w:b/>
          <w:bCs/>
          <w:sz w:val="30"/>
          <w:szCs w:val="30"/>
        </w:rPr>
      </w:pPr>
      <w:r>
        <w:rPr>
          <w:rFonts w:hint="eastAsia" w:ascii="仿宋" w:hAnsi="仿宋" w:eastAsia="仿宋" w:cs="仿宋"/>
          <w:b/>
          <w:bCs/>
          <w:sz w:val="30"/>
          <w:szCs w:val="30"/>
        </w:rPr>
        <w:t>（一）科研创新成果（上限30分）</w:t>
      </w:r>
    </w:p>
    <w:p w14:paraId="7C88F1D3">
      <w:pPr>
        <w:tabs>
          <w:tab w:val="left" w:pos="720"/>
        </w:tabs>
        <w:spacing w:line="500" w:lineRule="exact"/>
        <w:ind w:firstLine="600" w:firstLineChars="200"/>
        <w:rPr>
          <w:rFonts w:ascii="仿宋" w:hAnsi="仿宋" w:eastAsia="仿宋" w:cs="仿宋"/>
          <w:sz w:val="30"/>
          <w:szCs w:val="30"/>
        </w:rPr>
      </w:pPr>
      <w:r>
        <w:rPr>
          <w:rFonts w:hint="eastAsia" w:ascii="仿宋" w:hAnsi="仿宋" w:eastAsia="仿宋" w:cs="仿宋"/>
          <w:sz w:val="30"/>
          <w:szCs w:val="30"/>
        </w:rPr>
        <w:t>1.科研论文。指学生在高水平期刊（不含增刊）以独立作者或第一作者，或与指导老师联合发表（指导老师为第一作者，学生为第二作者，指导老师须为本校本学科专业教师）与学业相关的科研论文，论文以正式发表为准，仅有录用通知不得纳入。高水平期刊认定依据为《关于印发&lt;吉首大学人文社会科学项目与成果奖励办法&gt;&lt;吉首大学自然科学项目与技术成果奖励办法&gt;的通知》（吉大发〔2018〕53号）与《吉首大学高质量学术论文认定及期刊分级办法 (试行)》（吉大发〔2023〕26号）。</w:t>
      </w:r>
    </w:p>
    <w:p w14:paraId="711ADBFA">
      <w:pPr>
        <w:tabs>
          <w:tab w:val="left" w:pos="720"/>
        </w:tabs>
        <w:spacing w:line="500" w:lineRule="exact"/>
        <w:ind w:firstLine="600" w:firstLineChars="200"/>
        <w:rPr>
          <w:rFonts w:ascii="仿宋" w:hAnsi="仿宋" w:eastAsia="仿宋" w:cs="仿宋"/>
          <w:sz w:val="30"/>
          <w:szCs w:val="30"/>
        </w:rPr>
      </w:pPr>
      <w:r>
        <w:rPr>
          <w:rFonts w:hint="eastAsia" w:ascii="仿宋" w:hAnsi="仿宋" w:eastAsia="仿宋" w:cs="仿宋"/>
          <w:sz w:val="30"/>
          <w:szCs w:val="30"/>
        </w:rPr>
        <w:t>计分标准：学生为独立作者或第一作者，每篇A类期刊计30分，B类期刊计20分，C类期刊计15分，D类期刊计10分，E类期刊计8分；指导老师为第一作者，学生为第二作者，每篇A类期刊计15分，B类期刊计10分，C类期刊计7.5分，D类期刊计5分，E类期刊计4分。</w:t>
      </w:r>
    </w:p>
    <w:p w14:paraId="69D51445">
      <w:pPr>
        <w:tabs>
          <w:tab w:val="left" w:pos="720"/>
        </w:tabs>
        <w:spacing w:line="500" w:lineRule="exact"/>
        <w:ind w:firstLine="600" w:firstLineChars="200"/>
        <w:rPr>
          <w:rFonts w:ascii="仿宋" w:hAnsi="仿宋" w:eastAsia="仿宋" w:cs="仿宋"/>
          <w:sz w:val="30"/>
          <w:szCs w:val="30"/>
        </w:rPr>
      </w:pPr>
      <w:r>
        <w:rPr>
          <w:rFonts w:hint="eastAsia" w:ascii="仿宋" w:hAnsi="仿宋" w:eastAsia="仿宋" w:cs="仿宋"/>
          <w:sz w:val="30"/>
          <w:szCs w:val="30"/>
        </w:rPr>
        <w:t>2.专利。指学生为第一申请人，或与指导老师联合（指导老师为第一申请人，学生为第二申请人，指导老师须为本校本学科专业教师）获得与学业相关的授权国际发明专利、国家发明专利、国家实用新型专利或外观设计或软件著作权。</w:t>
      </w:r>
    </w:p>
    <w:p w14:paraId="0C6A7431">
      <w:pPr>
        <w:tabs>
          <w:tab w:val="left" w:pos="720"/>
        </w:tabs>
        <w:spacing w:line="500" w:lineRule="exact"/>
        <w:ind w:firstLine="600" w:firstLineChars="200"/>
        <w:rPr>
          <w:rFonts w:ascii="仿宋" w:hAnsi="仿宋" w:eastAsia="仿宋" w:cs="仿宋"/>
          <w:sz w:val="30"/>
          <w:szCs w:val="30"/>
        </w:rPr>
      </w:pPr>
      <w:r>
        <w:rPr>
          <w:rFonts w:hint="eastAsia" w:ascii="仿宋" w:hAnsi="仿宋" w:eastAsia="仿宋" w:cs="仿宋"/>
          <w:sz w:val="30"/>
          <w:szCs w:val="30"/>
        </w:rPr>
        <w:t>计分标准：（1）国际发明专利或国家发明专利。学生为第一申请人，每项计10分；指导老师为第一申请人、学生为第二申请人，每项计5分。（2）国家实用新型专利或外观设计或软件著作权。学生为第一申请人，每项计2分；指导老师为第一申请人、学生为第二申请人，每项计1分。</w:t>
      </w:r>
    </w:p>
    <w:p w14:paraId="1702622B">
      <w:pPr>
        <w:tabs>
          <w:tab w:val="left" w:pos="720"/>
        </w:tabs>
        <w:spacing w:line="500" w:lineRule="exact"/>
        <w:ind w:firstLine="600" w:firstLineChars="200"/>
        <w:rPr>
          <w:rFonts w:ascii="仿宋" w:hAnsi="仿宋" w:eastAsia="仿宋" w:cs="仿宋"/>
          <w:sz w:val="30"/>
          <w:szCs w:val="30"/>
        </w:rPr>
      </w:pPr>
      <w:r>
        <w:rPr>
          <w:rFonts w:hint="eastAsia" w:ascii="仿宋" w:hAnsi="仿宋" w:eastAsia="仿宋" w:cs="仿宋"/>
          <w:sz w:val="30"/>
          <w:szCs w:val="30"/>
        </w:rPr>
        <w:t>3.学术专著。学生独著或第一作者，或与指导老师联合（指导老师为第一作者，学生为第二作者，指导老师须为本校本学科专业教师）公开出版的与学业相关的学术专著（含著作、编著、译著），学生独著或第一作者，每部计15分；指导老师为第一作者，学生为第二作者，每部计5分；学生参编每部计2分。</w:t>
      </w:r>
    </w:p>
    <w:p w14:paraId="353BB54F">
      <w:pPr>
        <w:widowControl/>
        <w:spacing w:line="50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4.学生获与学业相关的自然科学奖、科学技术进步奖、技术发明奖、哲学社会科学研究优秀成果奖，国家级奖项及省级一等奖计30分，省级二等奖计20分、省级三等奖计15分。</w:t>
      </w:r>
    </w:p>
    <w:p w14:paraId="637E2B69">
      <w:pPr>
        <w:tabs>
          <w:tab w:val="left" w:pos="720"/>
        </w:tabs>
        <w:spacing w:line="500" w:lineRule="exact"/>
        <w:ind w:firstLine="602" w:firstLineChars="200"/>
        <w:rPr>
          <w:rFonts w:ascii="仿宋" w:hAnsi="仿宋" w:eastAsia="仿宋" w:cs="仿宋"/>
          <w:b/>
          <w:bCs/>
          <w:sz w:val="30"/>
          <w:szCs w:val="30"/>
        </w:rPr>
      </w:pPr>
      <w:r>
        <w:rPr>
          <w:rFonts w:hint="eastAsia" w:ascii="仿宋" w:hAnsi="仿宋" w:eastAsia="仿宋" w:cs="仿宋"/>
          <w:b/>
          <w:bCs/>
          <w:sz w:val="30"/>
          <w:szCs w:val="30"/>
        </w:rPr>
        <w:t>（二）学科竞赛获奖及主持项目（上限30分）</w:t>
      </w:r>
    </w:p>
    <w:p w14:paraId="0D88E6A9">
      <w:pPr>
        <w:tabs>
          <w:tab w:val="left" w:pos="720"/>
        </w:tabs>
        <w:spacing w:line="500" w:lineRule="exact"/>
        <w:ind w:firstLine="600" w:firstLineChars="200"/>
        <w:rPr>
          <w:rFonts w:ascii="仿宋" w:hAnsi="仿宋" w:eastAsia="仿宋" w:cs="仿宋"/>
          <w:sz w:val="30"/>
          <w:szCs w:val="30"/>
        </w:rPr>
      </w:pPr>
      <w:r>
        <w:rPr>
          <w:rFonts w:hint="eastAsia" w:ascii="仿宋" w:hAnsi="仿宋" w:eastAsia="仿宋" w:cs="仿宋"/>
          <w:sz w:val="30"/>
          <w:szCs w:val="30"/>
        </w:rPr>
        <w:t>1.学科竞赛</w:t>
      </w:r>
    </w:p>
    <w:p w14:paraId="065A1C95">
      <w:pPr>
        <w:tabs>
          <w:tab w:val="left" w:pos="720"/>
        </w:tabs>
        <w:spacing w:line="500" w:lineRule="exact"/>
        <w:ind w:firstLine="600" w:firstLineChars="200"/>
        <w:rPr>
          <w:rFonts w:ascii="仿宋" w:hAnsi="仿宋" w:eastAsia="仿宋" w:cs="仿宋"/>
          <w:sz w:val="30"/>
          <w:szCs w:val="30"/>
        </w:rPr>
      </w:pPr>
      <w:r>
        <w:rPr>
          <w:rFonts w:hint="eastAsia" w:ascii="仿宋" w:hAnsi="仿宋" w:eastAsia="仿宋" w:cs="仿宋"/>
          <w:sz w:val="30"/>
          <w:szCs w:val="30"/>
        </w:rPr>
        <w:t>学科竞赛获奖为独立参加或作为主力成员参加与学业相关的国家级或国际学科竞赛，并获得国家级三等奖及以上。学科竞赛项目及分类的认定依据为教务处当年发布的学科竞赛目录。</w:t>
      </w:r>
    </w:p>
    <w:p w14:paraId="5C1DF129">
      <w:pPr>
        <w:tabs>
          <w:tab w:val="left" w:pos="720"/>
        </w:tabs>
        <w:spacing w:line="500" w:lineRule="exact"/>
        <w:ind w:firstLine="600" w:firstLineChars="200"/>
        <w:rPr>
          <w:rFonts w:ascii="仿宋" w:hAnsi="仿宋" w:eastAsia="仿宋" w:cs="仿宋"/>
          <w:sz w:val="30"/>
          <w:szCs w:val="30"/>
        </w:rPr>
      </w:pPr>
      <w:r>
        <w:rPr>
          <w:rFonts w:hint="eastAsia" w:ascii="仿宋" w:hAnsi="仿宋" w:eastAsia="仿宋" w:cs="仿宋"/>
          <w:sz w:val="30"/>
          <w:szCs w:val="30"/>
        </w:rPr>
        <w:t>（1）参加A类学科竞赛中的互联网+、挑战杯，获特等奖、一等奖、二等奖、三等奖分别计30分、20分、10分、5分；</w:t>
      </w:r>
    </w:p>
    <w:p w14:paraId="741E7E31">
      <w:pPr>
        <w:tabs>
          <w:tab w:val="left" w:pos="720"/>
        </w:tabs>
        <w:spacing w:line="500" w:lineRule="exact"/>
        <w:ind w:firstLine="600" w:firstLineChars="200"/>
        <w:rPr>
          <w:rFonts w:ascii="仿宋" w:hAnsi="仿宋" w:eastAsia="仿宋" w:cs="仿宋"/>
          <w:sz w:val="30"/>
          <w:szCs w:val="30"/>
        </w:rPr>
      </w:pPr>
      <w:r>
        <w:rPr>
          <w:rFonts w:hint="eastAsia" w:ascii="仿宋" w:hAnsi="仿宋" w:eastAsia="仿宋" w:cs="仿宋"/>
          <w:sz w:val="30"/>
          <w:szCs w:val="30"/>
        </w:rPr>
        <w:t>（2）参加A类学科竞赛中的其它项目，获特等奖、一等奖、二等奖、三等奖分别计15分、10分、5分、2.5分；</w:t>
      </w:r>
    </w:p>
    <w:p w14:paraId="7E563C5D">
      <w:pPr>
        <w:tabs>
          <w:tab w:val="left" w:pos="720"/>
        </w:tabs>
        <w:spacing w:line="500" w:lineRule="exact"/>
        <w:ind w:firstLine="600" w:firstLineChars="200"/>
        <w:rPr>
          <w:rFonts w:ascii="仿宋" w:hAnsi="仿宋" w:eastAsia="仿宋" w:cs="仿宋"/>
          <w:sz w:val="30"/>
          <w:szCs w:val="30"/>
        </w:rPr>
      </w:pPr>
      <w:r>
        <w:rPr>
          <w:rFonts w:hint="eastAsia" w:ascii="仿宋" w:hAnsi="仿宋" w:eastAsia="仿宋" w:cs="仿宋"/>
          <w:sz w:val="30"/>
          <w:szCs w:val="30"/>
        </w:rPr>
        <w:t>（3）参加B类学科竞赛，获特等奖、一等奖、二等奖、三等奖，分别计5分、4分、3分、2分；</w:t>
      </w:r>
    </w:p>
    <w:p w14:paraId="1AEEAF54">
      <w:pPr>
        <w:tabs>
          <w:tab w:val="left" w:pos="720"/>
        </w:tabs>
        <w:spacing w:line="500" w:lineRule="exact"/>
        <w:ind w:firstLine="600" w:firstLineChars="200"/>
        <w:rPr>
          <w:rFonts w:ascii="仿宋" w:hAnsi="仿宋" w:eastAsia="仿宋" w:cs="仿宋"/>
          <w:sz w:val="30"/>
          <w:szCs w:val="30"/>
        </w:rPr>
      </w:pPr>
      <w:r>
        <w:rPr>
          <w:rFonts w:hint="eastAsia" w:ascii="仿宋" w:hAnsi="仿宋" w:eastAsia="仿宋" w:cs="仿宋"/>
          <w:sz w:val="30"/>
          <w:szCs w:val="30"/>
        </w:rPr>
        <w:t>（4）参加C类学科竞赛，获特等奖、一等奖、二等奖、三等奖，分别计2.5分、2分、1.5分、1分。</w:t>
      </w:r>
    </w:p>
    <w:p w14:paraId="2225D8A9">
      <w:pPr>
        <w:tabs>
          <w:tab w:val="left" w:pos="720"/>
        </w:tabs>
        <w:spacing w:line="500" w:lineRule="exact"/>
        <w:ind w:firstLine="600" w:firstLineChars="200"/>
        <w:rPr>
          <w:rFonts w:ascii="仿宋" w:hAnsi="仿宋" w:eastAsia="仿宋" w:cs="仿宋"/>
          <w:sz w:val="30"/>
          <w:szCs w:val="30"/>
        </w:rPr>
      </w:pPr>
      <w:r>
        <w:rPr>
          <w:rFonts w:hint="eastAsia" w:ascii="仿宋" w:hAnsi="仿宋" w:eastAsia="仿宋" w:cs="仿宋"/>
          <w:sz w:val="30"/>
          <w:szCs w:val="30"/>
        </w:rPr>
        <w:t>2.主持项目</w:t>
      </w:r>
    </w:p>
    <w:p w14:paraId="714C4432">
      <w:pPr>
        <w:tabs>
          <w:tab w:val="left" w:pos="720"/>
        </w:tabs>
        <w:spacing w:line="500" w:lineRule="exact"/>
        <w:ind w:firstLine="600" w:firstLineChars="200"/>
        <w:rPr>
          <w:rFonts w:ascii="仿宋" w:hAnsi="仿宋" w:eastAsia="仿宋" w:cs="仿宋"/>
          <w:sz w:val="30"/>
          <w:szCs w:val="30"/>
        </w:rPr>
      </w:pPr>
      <w:r>
        <w:rPr>
          <w:rFonts w:hint="eastAsia" w:ascii="仿宋" w:hAnsi="仿宋" w:eastAsia="仿宋" w:cs="仿宋"/>
          <w:sz w:val="30"/>
          <w:szCs w:val="30"/>
        </w:rPr>
        <w:t>（1）主持大学生创新创业训练计划项目，获国家级立项每项计5分、省级立项每项计2.5分。同一项目按最高级别计分。</w:t>
      </w:r>
    </w:p>
    <w:p w14:paraId="37E52C1D">
      <w:pPr>
        <w:tabs>
          <w:tab w:val="left" w:pos="720"/>
        </w:tabs>
        <w:spacing w:line="500" w:lineRule="exact"/>
        <w:ind w:firstLine="600" w:firstLineChars="200"/>
        <w:rPr>
          <w:rFonts w:ascii="仿宋" w:hAnsi="仿宋" w:eastAsia="仿宋" w:cs="仿宋"/>
          <w:sz w:val="30"/>
          <w:szCs w:val="30"/>
        </w:rPr>
      </w:pPr>
      <w:r>
        <w:rPr>
          <w:rFonts w:hint="eastAsia" w:ascii="仿宋" w:hAnsi="仿宋" w:eastAsia="仿宋" w:cs="仿宋"/>
          <w:sz w:val="30"/>
          <w:szCs w:val="30"/>
        </w:rPr>
        <w:t>（2）主持获省自科、社科基金等省级科研项目立项，每项计20分。</w:t>
      </w:r>
    </w:p>
    <w:p w14:paraId="1537861F">
      <w:pPr>
        <w:tabs>
          <w:tab w:val="left" w:pos="720"/>
        </w:tabs>
        <w:spacing w:line="500" w:lineRule="exact"/>
        <w:ind w:firstLine="600" w:firstLineChars="200"/>
        <w:rPr>
          <w:rFonts w:ascii="仿宋" w:hAnsi="仿宋" w:eastAsia="仿宋" w:cs="仿宋"/>
          <w:sz w:val="30"/>
          <w:szCs w:val="30"/>
        </w:rPr>
      </w:pPr>
      <w:r>
        <w:rPr>
          <w:rFonts w:hint="eastAsia" w:ascii="仿宋" w:hAnsi="仿宋" w:eastAsia="仿宋" w:cs="仿宋"/>
          <w:sz w:val="30"/>
          <w:szCs w:val="30"/>
        </w:rPr>
        <w:t>（3）主持获得湖南省大学生创业投资基金项目资助经费＜20万元，单项计15分；资助经费≥20万元，单项计30分。</w:t>
      </w:r>
    </w:p>
    <w:p w14:paraId="52571AFA">
      <w:pPr>
        <w:tabs>
          <w:tab w:val="left" w:pos="720"/>
        </w:tabs>
        <w:spacing w:line="500" w:lineRule="exact"/>
        <w:ind w:firstLine="602" w:firstLineChars="200"/>
        <w:rPr>
          <w:rFonts w:ascii="仿宋" w:hAnsi="仿宋" w:eastAsia="仿宋" w:cs="仿宋"/>
          <w:b/>
          <w:bCs/>
          <w:sz w:val="30"/>
          <w:szCs w:val="30"/>
        </w:rPr>
      </w:pPr>
      <w:r>
        <w:rPr>
          <w:rFonts w:hint="eastAsia" w:ascii="仿宋" w:hAnsi="仿宋" w:eastAsia="仿宋" w:cs="仿宋"/>
          <w:b/>
          <w:bCs/>
          <w:sz w:val="30"/>
          <w:szCs w:val="30"/>
        </w:rPr>
        <w:t>（三）参加有组织的志愿服务（上限5分）</w:t>
      </w:r>
    </w:p>
    <w:p w14:paraId="65BA7BB3">
      <w:pPr>
        <w:tabs>
          <w:tab w:val="left" w:pos="720"/>
        </w:tabs>
        <w:spacing w:line="500" w:lineRule="exact"/>
        <w:ind w:firstLine="600" w:firstLineChars="200"/>
        <w:rPr>
          <w:rFonts w:ascii="仿宋" w:hAnsi="仿宋" w:eastAsia="仿宋" w:cs="仿宋"/>
          <w:sz w:val="30"/>
          <w:szCs w:val="30"/>
        </w:rPr>
      </w:pPr>
      <w:r>
        <w:rPr>
          <w:rFonts w:hint="eastAsia" w:ascii="仿宋" w:hAnsi="仿宋" w:eastAsia="仿宋" w:cs="仿宋"/>
          <w:sz w:val="30"/>
          <w:szCs w:val="30"/>
        </w:rPr>
        <w:t>参加学校或上级主管部门组织的社会实践、志愿服务获国家级荣誉计5分，省级荣誉计3分。</w:t>
      </w:r>
    </w:p>
    <w:p w14:paraId="1023B7B1">
      <w:pPr>
        <w:tabs>
          <w:tab w:val="left" w:pos="720"/>
        </w:tabs>
        <w:spacing w:line="500" w:lineRule="exact"/>
        <w:ind w:firstLine="602" w:firstLineChars="200"/>
        <w:rPr>
          <w:rFonts w:ascii="仿宋" w:hAnsi="仿宋" w:eastAsia="仿宋" w:cs="仿宋"/>
          <w:b/>
          <w:bCs/>
          <w:sz w:val="30"/>
          <w:szCs w:val="30"/>
        </w:rPr>
      </w:pPr>
      <w:r>
        <w:rPr>
          <w:rFonts w:hint="eastAsia" w:ascii="仿宋" w:hAnsi="仿宋" w:eastAsia="仿宋" w:cs="仿宋"/>
          <w:b/>
          <w:bCs/>
          <w:sz w:val="30"/>
          <w:szCs w:val="30"/>
        </w:rPr>
        <w:t>（四）到国际组织实习（上限10分）</w:t>
      </w:r>
    </w:p>
    <w:p w14:paraId="2F854CCF">
      <w:pPr>
        <w:tabs>
          <w:tab w:val="left" w:pos="720"/>
        </w:tabs>
        <w:spacing w:line="500" w:lineRule="exact"/>
        <w:ind w:firstLine="600" w:firstLineChars="200"/>
        <w:rPr>
          <w:rFonts w:ascii="仿宋" w:hAnsi="仿宋" w:eastAsia="仿宋" w:cs="仿宋"/>
          <w:sz w:val="30"/>
          <w:szCs w:val="30"/>
        </w:rPr>
      </w:pPr>
      <w:r>
        <w:rPr>
          <w:rFonts w:hint="eastAsia" w:ascii="仿宋" w:hAnsi="仿宋" w:eastAsia="仿宋" w:cs="仿宋"/>
          <w:sz w:val="30"/>
          <w:szCs w:val="30"/>
        </w:rPr>
        <w:t>学生参加学校或上级主管部门组织的国际组织实习，每次计5分。国际组织认定依据为教育部“高校毕业生到国际组织实习任职信息服务平台”发布的机构。</w:t>
      </w:r>
    </w:p>
    <w:p w14:paraId="24467036">
      <w:pPr>
        <w:tabs>
          <w:tab w:val="left" w:pos="720"/>
        </w:tabs>
        <w:spacing w:line="500" w:lineRule="exact"/>
        <w:ind w:firstLine="602" w:firstLineChars="200"/>
        <w:rPr>
          <w:rFonts w:ascii="仿宋" w:hAnsi="仿宋" w:eastAsia="仿宋" w:cs="仿宋"/>
          <w:b/>
          <w:bCs/>
          <w:sz w:val="30"/>
          <w:szCs w:val="30"/>
        </w:rPr>
      </w:pPr>
      <w:r>
        <w:rPr>
          <w:rFonts w:hint="eastAsia" w:ascii="仿宋" w:hAnsi="仿宋" w:eastAsia="仿宋" w:cs="仿宋"/>
          <w:b/>
          <w:bCs/>
          <w:sz w:val="30"/>
          <w:szCs w:val="30"/>
        </w:rPr>
        <w:t>（五）参军入伍服兵役（上限10分）</w:t>
      </w:r>
    </w:p>
    <w:p w14:paraId="7003C6FE">
      <w:pPr>
        <w:tabs>
          <w:tab w:val="left" w:pos="720"/>
        </w:tabs>
        <w:spacing w:line="500" w:lineRule="exact"/>
        <w:ind w:firstLine="600" w:firstLineChars="200"/>
        <w:rPr>
          <w:rFonts w:ascii="仿宋" w:hAnsi="仿宋" w:eastAsia="仿宋" w:cs="仿宋"/>
          <w:sz w:val="30"/>
          <w:szCs w:val="30"/>
        </w:rPr>
      </w:pPr>
      <w:r>
        <w:rPr>
          <w:rFonts w:hint="eastAsia" w:ascii="仿宋" w:hAnsi="仿宋" w:eastAsia="仿宋" w:cs="仿宋"/>
          <w:sz w:val="30"/>
          <w:szCs w:val="30"/>
        </w:rPr>
        <w:t>1.本科在校期间应征入伍，退役后回校就读，计5分。</w:t>
      </w:r>
    </w:p>
    <w:p w14:paraId="74A1FAEA">
      <w:pPr>
        <w:tabs>
          <w:tab w:val="left" w:pos="720"/>
        </w:tabs>
        <w:spacing w:line="500" w:lineRule="exact"/>
        <w:ind w:firstLine="600" w:firstLineChars="200"/>
        <w:rPr>
          <w:rFonts w:ascii="仿宋" w:hAnsi="仿宋" w:eastAsia="仿宋" w:cs="仿宋"/>
          <w:sz w:val="30"/>
          <w:szCs w:val="30"/>
        </w:rPr>
      </w:pPr>
      <w:r>
        <w:rPr>
          <w:rFonts w:hint="eastAsia" w:ascii="仿宋" w:hAnsi="仿宋" w:eastAsia="仿宋" w:cs="仿宋"/>
          <w:sz w:val="30"/>
          <w:szCs w:val="30"/>
        </w:rPr>
        <w:t>2.在服役期间荣立个人二等功，计2分。</w:t>
      </w:r>
    </w:p>
    <w:p w14:paraId="0BD41D90">
      <w:pPr>
        <w:tabs>
          <w:tab w:val="left" w:pos="720"/>
        </w:tabs>
        <w:spacing w:line="500" w:lineRule="exact"/>
        <w:ind w:firstLine="600" w:firstLineChars="200"/>
        <w:rPr>
          <w:rFonts w:ascii="仿宋" w:hAnsi="仿宋" w:eastAsia="仿宋" w:cs="仿宋"/>
          <w:sz w:val="30"/>
          <w:szCs w:val="30"/>
        </w:rPr>
      </w:pPr>
      <w:r>
        <w:rPr>
          <w:rFonts w:hint="eastAsia" w:ascii="仿宋" w:hAnsi="仿宋" w:eastAsia="仿宋" w:cs="仿宋"/>
          <w:sz w:val="30"/>
          <w:szCs w:val="30"/>
        </w:rPr>
        <w:t>3.服役期间获团级（含）以上单位嘉奖、优秀士兵、四有士兵等荣誉称号，计1分。</w:t>
      </w:r>
    </w:p>
    <w:p w14:paraId="3564A83F">
      <w:pPr>
        <w:tabs>
          <w:tab w:val="left" w:pos="720"/>
        </w:tabs>
        <w:spacing w:line="500" w:lineRule="exact"/>
        <w:ind w:firstLine="600" w:firstLineChars="200"/>
        <w:rPr>
          <w:rFonts w:ascii="仿宋" w:hAnsi="仿宋" w:eastAsia="仿宋" w:cs="仿宋"/>
          <w:sz w:val="30"/>
          <w:szCs w:val="30"/>
        </w:rPr>
      </w:pPr>
      <w:r>
        <w:rPr>
          <w:rFonts w:hint="eastAsia" w:ascii="仿宋" w:hAnsi="仿宋" w:eastAsia="仿宋" w:cs="仿宋"/>
          <w:sz w:val="30"/>
          <w:szCs w:val="30"/>
        </w:rPr>
        <w:t>4.服役期间代表国家参加国际赛事获个人一等奖，计3分。</w:t>
      </w:r>
    </w:p>
    <w:p w14:paraId="7448CB67">
      <w:pPr>
        <w:tabs>
          <w:tab w:val="left" w:pos="720"/>
        </w:tabs>
        <w:spacing w:line="500" w:lineRule="exact"/>
        <w:ind w:firstLine="602" w:firstLineChars="200"/>
        <w:rPr>
          <w:rFonts w:ascii="仿宋" w:hAnsi="仿宋" w:eastAsia="仿宋" w:cs="仿宋"/>
          <w:b/>
          <w:bCs/>
          <w:sz w:val="30"/>
          <w:szCs w:val="30"/>
        </w:rPr>
      </w:pPr>
      <w:r>
        <w:rPr>
          <w:rFonts w:hint="eastAsia" w:ascii="仿宋" w:hAnsi="仿宋" w:eastAsia="仿宋" w:cs="仿宋"/>
          <w:b/>
          <w:bCs/>
          <w:sz w:val="30"/>
          <w:szCs w:val="30"/>
        </w:rPr>
        <w:t>（六）学生重要荣誉称号（上限15分）</w:t>
      </w:r>
    </w:p>
    <w:p w14:paraId="7F56E684">
      <w:pPr>
        <w:tabs>
          <w:tab w:val="left" w:pos="720"/>
        </w:tabs>
        <w:spacing w:line="500" w:lineRule="exact"/>
        <w:ind w:firstLine="600" w:firstLineChars="200"/>
        <w:rPr>
          <w:rFonts w:ascii="仿宋" w:hAnsi="仿宋" w:eastAsia="仿宋" w:cs="仿宋"/>
          <w:sz w:val="30"/>
          <w:szCs w:val="30"/>
        </w:rPr>
      </w:pPr>
      <w:r>
        <w:rPr>
          <w:rFonts w:hint="eastAsia" w:ascii="仿宋" w:hAnsi="仿宋" w:eastAsia="仿宋" w:cs="仿宋"/>
          <w:sz w:val="30"/>
          <w:szCs w:val="30"/>
        </w:rPr>
        <w:t>1.获中国青年五四奖章、全国道德模范等荣誉称号，计15分；</w:t>
      </w:r>
    </w:p>
    <w:p w14:paraId="6D82306F">
      <w:pPr>
        <w:tabs>
          <w:tab w:val="left" w:pos="720"/>
        </w:tabs>
        <w:spacing w:line="500" w:lineRule="exact"/>
        <w:ind w:firstLine="600" w:firstLineChars="200"/>
        <w:rPr>
          <w:rFonts w:ascii="仿宋" w:hAnsi="仿宋" w:eastAsia="仿宋" w:cs="仿宋"/>
          <w:sz w:val="30"/>
          <w:szCs w:val="30"/>
        </w:rPr>
      </w:pPr>
      <w:r>
        <w:rPr>
          <w:rFonts w:hint="eastAsia" w:ascii="仿宋" w:hAnsi="仿宋" w:eastAsia="仿宋" w:cs="仿宋"/>
          <w:sz w:val="30"/>
          <w:szCs w:val="30"/>
        </w:rPr>
        <w:t>2.获全国三好学生、优秀学生干部、优秀共产党员、优秀共青团员、优秀共青团干部、大学生自强之星称号者，计10分；</w:t>
      </w:r>
    </w:p>
    <w:p w14:paraId="3EBB3A24">
      <w:pPr>
        <w:tabs>
          <w:tab w:val="left" w:pos="720"/>
        </w:tabs>
        <w:spacing w:line="500" w:lineRule="exact"/>
        <w:ind w:firstLine="600" w:firstLineChars="200"/>
        <w:rPr>
          <w:rFonts w:ascii="仿宋" w:hAnsi="仿宋" w:eastAsia="仿宋" w:cs="仿宋"/>
          <w:sz w:val="30"/>
          <w:szCs w:val="30"/>
        </w:rPr>
      </w:pPr>
      <w:r>
        <w:rPr>
          <w:rFonts w:hint="eastAsia" w:ascii="仿宋" w:hAnsi="仿宋" w:eastAsia="仿宋" w:cs="仿宋"/>
          <w:sz w:val="30"/>
          <w:szCs w:val="30"/>
        </w:rPr>
        <w:t>3.获湖南青年五四奖章者，计10分；</w:t>
      </w:r>
    </w:p>
    <w:p w14:paraId="08C6F02F">
      <w:pPr>
        <w:tabs>
          <w:tab w:val="left" w:pos="720"/>
        </w:tabs>
        <w:spacing w:line="500" w:lineRule="exact"/>
        <w:ind w:firstLine="600" w:firstLineChars="200"/>
        <w:rPr>
          <w:rFonts w:ascii="仿宋" w:hAnsi="仿宋" w:eastAsia="仿宋" w:cs="仿宋"/>
          <w:sz w:val="30"/>
          <w:szCs w:val="30"/>
        </w:rPr>
      </w:pPr>
      <w:r>
        <w:rPr>
          <w:rFonts w:hint="eastAsia" w:ascii="仿宋" w:hAnsi="仿宋" w:eastAsia="仿宋" w:cs="仿宋"/>
          <w:sz w:val="30"/>
          <w:szCs w:val="30"/>
        </w:rPr>
        <w:t>4.获湖南省三好学生、优秀学生干部、优秀共产党员、优秀共青团员、优秀共青团干部、最美大学生称号者，计5分。</w:t>
      </w:r>
    </w:p>
    <w:p w14:paraId="34F97E0E">
      <w:pPr>
        <w:tabs>
          <w:tab w:val="left" w:pos="720"/>
        </w:tabs>
        <w:spacing w:line="500" w:lineRule="exact"/>
        <w:ind w:firstLine="602" w:firstLineChars="200"/>
        <w:rPr>
          <w:rFonts w:ascii="仿宋" w:hAnsi="仿宋" w:eastAsia="仿宋" w:cs="仿宋"/>
          <w:b/>
          <w:color w:val="000000" w:themeColor="text1"/>
          <w:sz w:val="30"/>
          <w:szCs w:val="30"/>
        </w:rPr>
      </w:pPr>
      <w:r>
        <w:rPr>
          <w:rFonts w:hint="eastAsia" w:ascii="仿宋" w:hAnsi="仿宋" w:eastAsia="仿宋" w:cs="仿宋"/>
          <w:b/>
          <w:color w:val="000000" w:themeColor="text1"/>
          <w:sz w:val="30"/>
          <w:szCs w:val="30"/>
        </w:rPr>
        <w:t>（七）相关说明</w:t>
      </w:r>
    </w:p>
    <w:p w14:paraId="5A3B98FA">
      <w:pPr>
        <w:tabs>
          <w:tab w:val="left" w:pos="720"/>
        </w:tabs>
        <w:spacing w:line="500" w:lineRule="exact"/>
        <w:ind w:firstLine="600" w:firstLineChars="200"/>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1.上述成果或荣誉，归属第一单位必须是吉首大学。</w:t>
      </w:r>
    </w:p>
    <w:p w14:paraId="786E3432">
      <w:pPr>
        <w:tabs>
          <w:tab w:val="left" w:pos="720"/>
        </w:tabs>
        <w:spacing w:line="500" w:lineRule="exact"/>
        <w:ind w:firstLine="600" w:firstLineChars="200"/>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2.上述成果或荣誉，必须为学生自本科入学开始、截至报名之日止所获得的。</w:t>
      </w:r>
    </w:p>
    <w:p w14:paraId="52DA2852">
      <w:pPr>
        <w:tabs>
          <w:tab w:val="left" w:pos="720"/>
        </w:tabs>
        <w:spacing w:line="500" w:lineRule="exact"/>
        <w:ind w:firstLine="600" w:firstLineChars="200"/>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3.为严防抄袭、造假、冒名及有名无实等情况，对学生提交的科研创新成果、学科竞赛获奖和主持项目的，学院将组织学生在学院进行公开答辩，答辩全程录音录像。审核专家小组根据学生提交的材料、公开答辩等情况给出明确审核意见并签字存档。对于与指导老师联合发表的论文或参赛的，指导老师应出具推荐信，客观陈述学生在联合成果中所做的实际贡献。</w:t>
      </w:r>
    </w:p>
    <w:p w14:paraId="2B30F14C">
      <w:pPr>
        <w:tabs>
          <w:tab w:val="left" w:pos="720"/>
        </w:tabs>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学科竞赛、社会实践、志愿服务以小组或者集体获奖。两人组队参赛（参加）获奖，按照排名第一、第二分别分配计分的70%、30%；多人组队参赛（参加）获奖，按照排名第一、第二、第三分别分配计分的50%、30%、20%，排名第四及以后，不纳入计分范围。</w:t>
      </w:r>
    </w:p>
    <w:p w14:paraId="199F69FC">
      <w:pPr>
        <w:spacing w:line="500" w:lineRule="exact"/>
        <w:ind w:firstLine="602" w:firstLineChars="200"/>
        <w:rPr>
          <w:rFonts w:ascii="仿宋" w:hAnsi="仿宋" w:eastAsia="仿宋" w:cs="仿宋"/>
          <w:color w:val="000000" w:themeColor="text1"/>
          <w:sz w:val="30"/>
          <w:szCs w:val="30"/>
        </w:rPr>
      </w:pPr>
      <w:r>
        <w:rPr>
          <w:rFonts w:hint="eastAsia" w:ascii="仿宋" w:hAnsi="仿宋" w:eastAsia="仿宋" w:cs="仿宋"/>
          <w:b/>
          <w:color w:val="000000" w:themeColor="text1"/>
          <w:sz w:val="30"/>
          <w:szCs w:val="30"/>
        </w:rPr>
        <w:t>第六条</w:t>
      </w:r>
      <w:r>
        <w:rPr>
          <w:rFonts w:hint="eastAsia" w:ascii="仿宋" w:hAnsi="仿宋" w:eastAsia="仿宋" w:cs="仿宋"/>
          <w:color w:val="000000" w:themeColor="text1"/>
          <w:sz w:val="30"/>
          <w:szCs w:val="30"/>
        </w:rPr>
        <w:t xml:space="preserve"> 如发现学生在推免工作中有弄虚作假行为，一经查实，除取消其推免资格外，另按学校有关规定进行处理。</w:t>
      </w:r>
    </w:p>
    <w:p w14:paraId="212AF947">
      <w:pPr>
        <w:tabs>
          <w:tab w:val="left" w:pos="720"/>
        </w:tabs>
        <w:spacing w:line="540" w:lineRule="exact"/>
        <w:rPr>
          <w:rFonts w:ascii="仿宋" w:hAnsi="仿宋" w:eastAsia="仿宋" w:cs="仿宋"/>
          <w:color w:val="000000" w:themeColor="text1"/>
          <w:sz w:val="30"/>
          <w:szCs w:val="30"/>
        </w:rPr>
      </w:pPr>
    </w:p>
    <w:p w14:paraId="3D2D830C">
      <w:pPr>
        <w:tabs>
          <w:tab w:val="left" w:pos="720"/>
        </w:tabs>
        <w:spacing w:line="540" w:lineRule="exact"/>
        <w:rPr>
          <w:rFonts w:ascii="仿宋" w:hAnsi="仿宋" w:eastAsia="仿宋" w:cs="仿宋"/>
          <w:color w:val="000000" w:themeColor="text1"/>
          <w:sz w:val="30"/>
          <w:szCs w:val="30"/>
        </w:rPr>
      </w:pPr>
    </w:p>
    <w:p w14:paraId="70F3CAC4">
      <w:pPr>
        <w:tabs>
          <w:tab w:val="left" w:pos="720"/>
        </w:tabs>
        <w:spacing w:line="500" w:lineRule="exact"/>
        <w:ind w:firstLine="5550" w:firstLineChars="1850"/>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吉首大学商学院</w:t>
      </w:r>
    </w:p>
    <w:p w14:paraId="6A384A5A">
      <w:pPr>
        <w:tabs>
          <w:tab w:val="left" w:pos="720"/>
        </w:tabs>
        <w:spacing w:line="500" w:lineRule="exact"/>
        <w:ind w:firstLine="5550" w:firstLineChars="1850"/>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2025年8月28日</w:t>
      </w:r>
    </w:p>
    <w:p w14:paraId="56CE0399">
      <w:pPr>
        <w:spacing w:line="540" w:lineRule="exact"/>
        <w:ind w:firstLine="600" w:firstLineChars="200"/>
        <w:rPr>
          <w:rFonts w:ascii="仿宋" w:hAnsi="仿宋" w:eastAsia="仿宋" w:cs="仿宋"/>
          <w:color w:val="000000" w:themeColor="text1"/>
          <w:sz w:val="30"/>
          <w:szCs w:val="30"/>
        </w:rPr>
      </w:pPr>
    </w:p>
    <w:p w14:paraId="2C2953F5">
      <w:pPr>
        <w:spacing w:line="540" w:lineRule="exact"/>
        <w:ind w:firstLine="600" w:firstLineChars="200"/>
        <w:rPr>
          <w:rFonts w:ascii="仿宋" w:hAnsi="仿宋" w:eastAsia="仿宋" w:cs="仿宋"/>
          <w:color w:val="000000" w:themeColor="text1"/>
          <w:sz w:val="30"/>
          <w:szCs w:val="30"/>
        </w:rPr>
      </w:pPr>
    </w:p>
    <w:p w14:paraId="47645069">
      <w:pPr>
        <w:spacing w:line="540" w:lineRule="exact"/>
        <w:ind w:firstLine="600" w:firstLineChars="200"/>
        <w:rPr>
          <w:rFonts w:ascii="仿宋" w:hAnsi="仿宋" w:eastAsia="仿宋" w:cs="仿宋"/>
          <w:color w:val="000000" w:themeColor="text1"/>
          <w:sz w:val="30"/>
          <w:szCs w:val="30"/>
        </w:rPr>
      </w:pPr>
    </w:p>
    <w:p w14:paraId="71945A18">
      <w:pPr>
        <w:spacing w:line="540" w:lineRule="exact"/>
        <w:ind w:firstLine="600" w:firstLineChars="200"/>
        <w:rPr>
          <w:rFonts w:ascii="仿宋" w:hAnsi="仿宋" w:eastAsia="仿宋" w:cs="仿宋"/>
          <w:color w:val="000000" w:themeColor="text1"/>
          <w:sz w:val="30"/>
          <w:szCs w:val="30"/>
        </w:rPr>
      </w:pPr>
    </w:p>
    <w:p w14:paraId="777FBA10">
      <w:pPr>
        <w:spacing w:line="540" w:lineRule="exact"/>
        <w:ind w:firstLine="600" w:firstLineChars="200"/>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附件1：《关于印发&lt;吉首大学人文社会科学项目与成果奖励办法&gt;&lt;吉首大学自然科学项目与技术成果奖励办法&gt;的通知》（吉大发〔2018〕53号）</w:t>
      </w:r>
    </w:p>
    <w:p w14:paraId="2A399DF7">
      <w:pPr>
        <w:spacing w:line="540" w:lineRule="exact"/>
        <w:ind w:firstLine="600" w:firstLineChars="200"/>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附件2：《吉首大学高质量学术论文认定及期刊分级办法 (试行)》（吉大发〔2023〕26号）</w:t>
      </w:r>
    </w:p>
    <w:p w14:paraId="4382DC00">
      <w:pPr>
        <w:spacing w:line="360" w:lineRule="auto"/>
        <w:ind w:firstLine="480" w:firstLineChars="200"/>
        <w:rPr>
          <w:color w:val="000000" w:themeColor="text1"/>
          <w:sz w:val="24"/>
        </w:rPr>
      </w:pPr>
    </w:p>
    <w:p w14:paraId="6725142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銈㊞-⋅兊೧碋Ք亇䃢呇ഔ"/>
  </w:docVars>
  <w:rsids>
    <w:rsidRoot w:val="462426B2"/>
    <w:rsid w:val="00020269"/>
    <w:rsid w:val="00036479"/>
    <w:rsid w:val="00043617"/>
    <w:rsid w:val="00057F67"/>
    <w:rsid w:val="000952C1"/>
    <w:rsid w:val="000A2EE8"/>
    <w:rsid w:val="000D3C6E"/>
    <w:rsid w:val="00131DB0"/>
    <w:rsid w:val="001500A3"/>
    <w:rsid w:val="001E0F7B"/>
    <w:rsid w:val="002464D3"/>
    <w:rsid w:val="00256AC6"/>
    <w:rsid w:val="00267B2A"/>
    <w:rsid w:val="002706E9"/>
    <w:rsid w:val="00294541"/>
    <w:rsid w:val="002A578A"/>
    <w:rsid w:val="003008B8"/>
    <w:rsid w:val="003043AE"/>
    <w:rsid w:val="00314C2F"/>
    <w:rsid w:val="003973A2"/>
    <w:rsid w:val="003D53B4"/>
    <w:rsid w:val="004102F5"/>
    <w:rsid w:val="00435F90"/>
    <w:rsid w:val="00571E1A"/>
    <w:rsid w:val="00601489"/>
    <w:rsid w:val="00617E48"/>
    <w:rsid w:val="00633472"/>
    <w:rsid w:val="00662273"/>
    <w:rsid w:val="00667827"/>
    <w:rsid w:val="0070456D"/>
    <w:rsid w:val="0079177F"/>
    <w:rsid w:val="007A133C"/>
    <w:rsid w:val="007D145C"/>
    <w:rsid w:val="00805414"/>
    <w:rsid w:val="00820A4F"/>
    <w:rsid w:val="00884F04"/>
    <w:rsid w:val="0093740B"/>
    <w:rsid w:val="00970848"/>
    <w:rsid w:val="009B543E"/>
    <w:rsid w:val="009D59F2"/>
    <w:rsid w:val="00A40579"/>
    <w:rsid w:val="00AB2025"/>
    <w:rsid w:val="00AE53BF"/>
    <w:rsid w:val="00B4357F"/>
    <w:rsid w:val="00B879E5"/>
    <w:rsid w:val="00B94DF2"/>
    <w:rsid w:val="00BB3DEF"/>
    <w:rsid w:val="00BE0C10"/>
    <w:rsid w:val="00C139F3"/>
    <w:rsid w:val="00C20B3E"/>
    <w:rsid w:val="00C320C7"/>
    <w:rsid w:val="00D11F23"/>
    <w:rsid w:val="00D4482C"/>
    <w:rsid w:val="00D62B7B"/>
    <w:rsid w:val="00E55584"/>
    <w:rsid w:val="00EA216B"/>
    <w:rsid w:val="00F161C7"/>
    <w:rsid w:val="00F83A8A"/>
    <w:rsid w:val="00FA53E5"/>
    <w:rsid w:val="01471A19"/>
    <w:rsid w:val="01A00C4B"/>
    <w:rsid w:val="02851C26"/>
    <w:rsid w:val="03103E40"/>
    <w:rsid w:val="04AE2DE6"/>
    <w:rsid w:val="075F2776"/>
    <w:rsid w:val="080B5E70"/>
    <w:rsid w:val="08FF69EC"/>
    <w:rsid w:val="0FBB72F9"/>
    <w:rsid w:val="137B3313"/>
    <w:rsid w:val="13964047"/>
    <w:rsid w:val="185214A8"/>
    <w:rsid w:val="18F42F89"/>
    <w:rsid w:val="197113F3"/>
    <w:rsid w:val="19815ED2"/>
    <w:rsid w:val="19B1454E"/>
    <w:rsid w:val="1A566625"/>
    <w:rsid w:val="1A7506A4"/>
    <w:rsid w:val="1D15202E"/>
    <w:rsid w:val="1DDB1D29"/>
    <w:rsid w:val="21792826"/>
    <w:rsid w:val="28C31581"/>
    <w:rsid w:val="291F156B"/>
    <w:rsid w:val="2B101C3F"/>
    <w:rsid w:val="2B3F1384"/>
    <w:rsid w:val="2C2C62B2"/>
    <w:rsid w:val="2C564DDD"/>
    <w:rsid w:val="2ED767F5"/>
    <w:rsid w:val="2EEB6588"/>
    <w:rsid w:val="2FE079BA"/>
    <w:rsid w:val="309B2CB9"/>
    <w:rsid w:val="30E27E7E"/>
    <w:rsid w:val="30F1651D"/>
    <w:rsid w:val="31E954A9"/>
    <w:rsid w:val="367336B6"/>
    <w:rsid w:val="37196097"/>
    <w:rsid w:val="37CE75B8"/>
    <w:rsid w:val="38030BFF"/>
    <w:rsid w:val="380F4117"/>
    <w:rsid w:val="389D5322"/>
    <w:rsid w:val="3B8024AE"/>
    <w:rsid w:val="3B9A612F"/>
    <w:rsid w:val="3BD53EDD"/>
    <w:rsid w:val="3BE455FD"/>
    <w:rsid w:val="3E612F34"/>
    <w:rsid w:val="3EF109D7"/>
    <w:rsid w:val="3EF85133"/>
    <w:rsid w:val="3F3F21D5"/>
    <w:rsid w:val="405A33B1"/>
    <w:rsid w:val="41847666"/>
    <w:rsid w:val="41A878FC"/>
    <w:rsid w:val="433B47B7"/>
    <w:rsid w:val="446B5B00"/>
    <w:rsid w:val="4514315D"/>
    <w:rsid w:val="451F1902"/>
    <w:rsid w:val="462426B2"/>
    <w:rsid w:val="49F11610"/>
    <w:rsid w:val="4AA65A49"/>
    <w:rsid w:val="4B9261EB"/>
    <w:rsid w:val="4CF03E01"/>
    <w:rsid w:val="4F0E66F3"/>
    <w:rsid w:val="4FD277EE"/>
    <w:rsid w:val="507963F9"/>
    <w:rsid w:val="507F403F"/>
    <w:rsid w:val="5150702C"/>
    <w:rsid w:val="51C970C2"/>
    <w:rsid w:val="51EC75FB"/>
    <w:rsid w:val="57EB6F88"/>
    <w:rsid w:val="590E1667"/>
    <w:rsid w:val="597D14D2"/>
    <w:rsid w:val="5B902970"/>
    <w:rsid w:val="5BB97F95"/>
    <w:rsid w:val="5D693294"/>
    <w:rsid w:val="5E865F04"/>
    <w:rsid w:val="5F942D12"/>
    <w:rsid w:val="619E0364"/>
    <w:rsid w:val="63AD0AA1"/>
    <w:rsid w:val="64A137DB"/>
    <w:rsid w:val="64F46001"/>
    <w:rsid w:val="66D242BD"/>
    <w:rsid w:val="66E44B1A"/>
    <w:rsid w:val="68CD2DF1"/>
    <w:rsid w:val="6D1C5112"/>
    <w:rsid w:val="6D333F75"/>
    <w:rsid w:val="6EB16B58"/>
    <w:rsid w:val="6FB613F5"/>
    <w:rsid w:val="6FC01ACD"/>
    <w:rsid w:val="72EF4D83"/>
    <w:rsid w:val="7315161C"/>
    <w:rsid w:val="73216A1A"/>
    <w:rsid w:val="74867138"/>
    <w:rsid w:val="755518FD"/>
    <w:rsid w:val="773A78A3"/>
    <w:rsid w:val="77DD487F"/>
    <w:rsid w:val="77F0057F"/>
    <w:rsid w:val="78250553"/>
    <w:rsid w:val="78B806AC"/>
    <w:rsid w:val="78D0115D"/>
    <w:rsid w:val="7A990D85"/>
    <w:rsid w:val="7ACB4C15"/>
    <w:rsid w:val="7ADB102E"/>
    <w:rsid w:val="7AEC0141"/>
    <w:rsid w:val="7B132DB5"/>
    <w:rsid w:val="7C030BAC"/>
    <w:rsid w:val="7C4D0079"/>
    <w:rsid w:val="7CB62D90"/>
    <w:rsid w:val="7CD11B50"/>
    <w:rsid w:val="7D9C7738"/>
    <w:rsid w:val="7F113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jc w:val="left"/>
      <w:outlineLvl w:val="0"/>
    </w:pPr>
    <w:rPr>
      <w:rFonts w:hint="eastAsia" w:ascii="宋体" w:hAnsi="宋体" w:eastAsia="宋体" w:cs="Times New Roman"/>
      <w:b/>
      <w:kern w:val="44"/>
      <w:sz w:val="48"/>
      <w:szCs w:val="48"/>
    </w:rPr>
  </w:style>
  <w:style w:type="paragraph" w:styleId="3">
    <w:name w:val="heading 4"/>
    <w:basedOn w:val="1"/>
    <w:next w:val="1"/>
    <w:unhideWhenUsed/>
    <w:qFormat/>
    <w:uiPriority w:val="0"/>
    <w:pPr>
      <w:jc w:val="left"/>
      <w:outlineLvl w:val="3"/>
    </w:pPr>
    <w:rPr>
      <w:rFonts w:hint="eastAsia" w:ascii="宋体" w:hAnsi="宋体" w:eastAsia="宋体" w:cs="Times New Roman"/>
      <w:b/>
      <w:kern w:val="0"/>
      <w:sz w:val="2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Date"/>
    <w:basedOn w:val="1"/>
    <w:next w:val="1"/>
    <w:link w:val="18"/>
    <w:qFormat/>
    <w:uiPriority w:val="0"/>
    <w:pPr>
      <w:ind w:left="100" w:leftChars="2500"/>
    </w:pPr>
  </w:style>
  <w:style w:type="paragraph" w:styleId="6">
    <w:name w:val="Balloon Text"/>
    <w:basedOn w:val="1"/>
    <w:link w:val="19"/>
    <w:qFormat/>
    <w:uiPriority w:val="0"/>
    <w:rPr>
      <w:sz w:val="18"/>
      <w:szCs w:val="18"/>
    </w:rPr>
  </w:style>
  <w:style w:type="paragraph" w:styleId="7">
    <w:name w:val="footer"/>
    <w:basedOn w:val="1"/>
    <w:link w:val="16"/>
    <w:qFormat/>
    <w:uiPriority w:val="0"/>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character" w:styleId="11">
    <w:name w:val="FollowedHyperlink"/>
    <w:basedOn w:val="10"/>
    <w:qFormat/>
    <w:uiPriority w:val="0"/>
    <w:rPr>
      <w:color w:val="2D374B"/>
      <w:u w:val="none"/>
    </w:rPr>
  </w:style>
  <w:style w:type="character" w:styleId="12">
    <w:name w:val="Emphasis"/>
    <w:basedOn w:val="10"/>
    <w:qFormat/>
    <w:uiPriority w:val="0"/>
  </w:style>
  <w:style w:type="character" w:styleId="13">
    <w:name w:val="Hyperlink"/>
    <w:basedOn w:val="10"/>
    <w:qFormat/>
    <w:uiPriority w:val="0"/>
    <w:rPr>
      <w:color w:val="2D374B"/>
      <w:u w:val="none"/>
    </w:rPr>
  </w:style>
  <w:style w:type="character" w:styleId="14">
    <w:name w:val="annotation reference"/>
    <w:basedOn w:val="10"/>
    <w:uiPriority w:val="0"/>
    <w:rPr>
      <w:sz w:val="21"/>
      <w:szCs w:val="21"/>
    </w:rPr>
  </w:style>
  <w:style w:type="character" w:customStyle="1" w:styleId="15">
    <w:name w:val="页眉 Char"/>
    <w:basedOn w:val="10"/>
    <w:link w:val="8"/>
    <w:qFormat/>
    <w:uiPriority w:val="0"/>
    <w:rPr>
      <w:rFonts w:asciiTheme="minorHAnsi" w:hAnsiTheme="minorHAnsi" w:eastAsiaTheme="minorEastAsia" w:cstheme="minorBidi"/>
      <w:kern w:val="2"/>
      <w:sz w:val="18"/>
      <w:szCs w:val="18"/>
    </w:rPr>
  </w:style>
  <w:style w:type="character" w:customStyle="1" w:styleId="16">
    <w:name w:val="页脚 Char"/>
    <w:basedOn w:val="10"/>
    <w:link w:val="7"/>
    <w:qFormat/>
    <w:uiPriority w:val="0"/>
    <w:rPr>
      <w:rFonts w:asciiTheme="minorHAnsi" w:hAnsiTheme="minorHAnsi" w:eastAsiaTheme="minorEastAsia" w:cstheme="minorBidi"/>
      <w:kern w:val="2"/>
      <w:sz w:val="18"/>
      <w:szCs w:val="18"/>
    </w:rPr>
  </w:style>
  <w:style w:type="paragraph" w:customStyle="1" w:styleId="17">
    <w:name w:val="列出段落1"/>
    <w:basedOn w:val="1"/>
    <w:unhideWhenUsed/>
    <w:qFormat/>
    <w:uiPriority w:val="99"/>
    <w:pPr>
      <w:ind w:firstLine="420" w:firstLineChars="200"/>
    </w:pPr>
  </w:style>
  <w:style w:type="character" w:customStyle="1" w:styleId="18">
    <w:name w:val="日期 Char"/>
    <w:basedOn w:val="10"/>
    <w:link w:val="5"/>
    <w:qFormat/>
    <w:uiPriority w:val="0"/>
    <w:rPr>
      <w:rFonts w:asciiTheme="minorHAnsi" w:hAnsiTheme="minorHAnsi" w:eastAsiaTheme="minorEastAsia" w:cstheme="minorBidi"/>
      <w:kern w:val="2"/>
      <w:sz w:val="21"/>
      <w:szCs w:val="24"/>
    </w:rPr>
  </w:style>
  <w:style w:type="character" w:customStyle="1" w:styleId="19">
    <w:name w:val="批注框文本 Char"/>
    <w:basedOn w:val="10"/>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3688</Words>
  <Characters>3813</Characters>
  <Lines>26</Lines>
  <Paragraphs>7</Paragraphs>
  <TotalTime>2</TotalTime>
  <ScaleCrop>false</ScaleCrop>
  <LinksUpToDate>false</LinksUpToDate>
  <CharactersWithSpaces>3825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2017-09-04T09:30:00Z</dcterms:created>
  <dc:creator>Administrator</dc:creator>
  <cp:lastModifiedBy>Spinach</cp:lastModifiedBy>
  <cp:lastPrinted>2023-09-19T08:13:00Z</cp:lastPrinted>
  <dcterms:modified xsi:type="dcterms:W3CDTF">2025-08-30T17:45:08Z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0851DDD7EFD74316B4547FC592A7CCE3</vt:lpwstr>
  </property>
  <property fmtid="{D5CDD505-2E9C-101B-9397-08002B2CF9AE}" pid="4" name="KSOTemplateDocerSaveRecord">
    <vt:lpwstr>eyJoZGlkIjoiMzEwNTM5NzYwMDRjMzkwZTVkZjY2ODkwMGIxNGU0OTUiLCJ1c2VySWQiOiIyNjQ4MjYwNTkifQ==</vt:lpwstr>
  </property>
</Properties>
</file>